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5"/>
      </w:tblGrid>
      <w:tr w:rsidR="00EF3A89" w:rsidRPr="00EF3A89" w:rsidTr="00496975">
        <w:trPr>
          <w:tblCellSpacing w:w="15" w:type="dxa"/>
        </w:trPr>
        <w:tc>
          <w:tcPr>
            <w:tcW w:w="0" w:type="auto"/>
            <w:shd w:val="clear" w:color="auto" w:fill="4169E1"/>
            <w:vAlign w:val="center"/>
            <w:hideMark/>
          </w:tcPr>
          <w:p w:rsidR="00EF3A89" w:rsidRPr="00EF3A89" w:rsidRDefault="00EF3A89" w:rsidP="00EF3A8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F3A89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6"/>
                <w:szCs w:val="36"/>
              </w:rPr>
              <w:t>新竹縣政府所屬機關通報案件處理結案情形統計表</w:t>
            </w:r>
          </w:p>
        </w:tc>
      </w:tr>
    </w:tbl>
    <w:p w:rsidR="00DF2A49" w:rsidRDefault="00F77FCE">
      <w:r w:rsidRPr="00F77FCE">
        <w:drawing>
          <wp:inline distT="0" distB="0" distL="0" distR="0" wp14:anchorId="3A8859CF" wp14:editId="1BEA3D68">
            <wp:extent cx="6156325" cy="2892336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8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49" w:rsidRDefault="00DF2A49"/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6F7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228"/>
        <w:gridCol w:w="752"/>
        <w:gridCol w:w="768"/>
        <w:gridCol w:w="887"/>
        <w:gridCol w:w="995"/>
        <w:gridCol w:w="706"/>
        <w:gridCol w:w="708"/>
        <w:gridCol w:w="708"/>
        <w:gridCol w:w="850"/>
        <w:gridCol w:w="519"/>
        <w:gridCol w:w="21"/>
      </w:tblGrid>
      <w:tr w:rsidR="00DF2A49" w:rsidRPr="00DF2A49" w:rsidTr="00F4428D">
        <w:trPr>
          <w:tblCellSpacing w:w="0" w:type="dxa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F77FC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新竹縣政府所屬機關通報案件處理結案情形統計表 (限辦日期：11</w:t>
            </w:r>
            <w:r w:rsidR="00F77FC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2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/01/01~11</w:t>
            </w:r>
            <w:r w:rsidR="00F77FC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3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/01/1</w:t>
            </w:r>
            <w:r w:rsidR="00F77FC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7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)</w:t>
            </w:r>
          </w:p>
        </w:tc>
      </w:tr>
      <w:tr w:rsidR="00DF2A49" w:rsidRPr="00DF2A49" w:rsidTr="00F4428D">
        <w:trPr>
          <w:tblCellSpacing w:w="0" w:type="dxa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項次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主辦機關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通報案件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總項數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</w:r>
            <w:r w:rsidRPr="00DF2A49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>A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已結案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未結案</w:t>
            </w: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428D" w:rsidRPr="00DF2A49" w:rsidTr="00F4428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結案項數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</w:r>
            <w:r w:rsidRPr="00DF2A49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>B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結案比例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</w:r>
            <w:r w:rsidRPr="00DF2A49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>B/A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處理天數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平均值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處理天數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標準偏差值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逾期項數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未結案項數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</w:r>
            <w:r w:rsidRPr="00DF2A49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>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未結案比例</w:t>
            </w: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</w:r>
            <w:r w:rsidRPr="00DF2A49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>C/A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逾期項數</w:t>
            </w: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8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新竹縣政府工務處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F77FCE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F77FCE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.47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9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新竹縣竹東鎮公所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F77FCE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F77FCE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0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新竹縣新豐鄉公所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1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新竹縣關西鎮公所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2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新竹縣政府交通旅遊處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3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新竹縣橫山鄉公所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4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新竹縣政府產業發展處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5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新竹縣尖石鄉公所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6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新竹縣體育場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7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新竹縣竹北市公所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F77FCE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F77FCE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1A0F56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0.97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1.07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8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新竹縣湖口鄉公所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2A49" w:rsidRPr="00DF2A49" w:rsidTr="00F4428D">
        <w:trPr>
          <w:tblCellSpacing w:w="0" w:type="dxa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4D03F2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hyperlink r:id="rId19" w:history="1">
              <w:r w:rsidR="00DF2A49" w:rsidRPr="00DF2A49">
                <w:rPr>
                  <w:rFonts w:ascii="新細明體" w:eastAsia="新細明體" w:hAnsi="新細明體" w:cs="新細明體"/>
                  <w:b/>
                  <w:color w:val="0000FF"/>
                  <w:kern w:val="0"/>
                  <w:sz w:val="20"/>
                  <w:szCs w:val="20"/>
                  <w:u w:val="single"/>
                </w:rPr>
                <w:t>合計</w:t>
              </w:r>
            </w:hyperlink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F77FCE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2</w:t>
            </w:r>
            <w:r w:rsidR="00F77FCE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F77FCE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100.00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1A0F56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0</w:t>
            </w: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</w:t>
            </w:r>
            <w:r w:rsidR="001A0F56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41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0</w:t>
            </w: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DF2A49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outset" w:sz="8" w:space="0" w:color="auto"/>
            </w:tcBorders>
            <w:shd w:val="clear" w:color="auto" w:fill="D6F7FF"/>
            <w:vAlign w:val="center"/>
            <w:hideMark/>
          </w:tcPr>
          <w:p w:rsidR="00DF2A49" w:rsidRPr="00DF2A49" w:rsidRDefault="00DF2A49" w:rsidP="00DF2A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F2A49" w:rsidRDefault="00DF2A49"/>
    <w:p w:rsidR="00DF2A49" w:rsidRDefault="00DF2A49"/>
    <w:p w:rsidR="00DF2A49" w:rsidRDefault="00DF2A49"/>
    <w:sectPr w:rsidR="00DF2A49" w:rsidSect="00EF3A89">
      <w:pgSz w:w="11906" w:h="16838"/>
      <w:pgMar w:top="1440" w:right="964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A8" w:rsidRDefault="001239A8" w:rsidP="00DF2A49">
      <w:r>
        <w:separator/>
      </w:r>
    </w:p>
  </w:endnote>
  <w:endnote w:type="continuationSeparator" w:id="0">
    <w:p w:rsidR="001239A8" w:rsidRDefault="001239A8" w:rsidP="00DF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A8" w:rsidRDefault="001239A8" w:rsidP="00DF2A49">
      <w:r>
        <w:separator/>
      </w:r>
    </w:p>
  </w:footnote>
  <w:footnote w:type="continuationSeparator" w:id="0">
    <w:p w:rsidR="001239A8" w:rsidRDefault="001239A8" w:rsidP="00DF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89"/>
    <w:rsid w:val="001239A8"/>
    <w:rsid w:val="001A0F56"/>
    <w:rsid w:val="00496975"/>
    <w:rsid w:val="006D155D"/>
    <w:rsid w:val="00751376"/>
    <w:rsid w:val="00DF2A49"/>
    <w:rsid w:val="00EF3A89"/>
    <w:rsid w:val="00F4428D"/>
    <w:rsid w:val="00F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A49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  <w:rsid w:val="001239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39A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239A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239A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1239A8"/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7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7F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A49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  <w:rsid w:val="001239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39A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239A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239A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1239A8"/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7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7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B100g" TargetMode="External"/><Relationship Id="rId13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5600A" TargetMode="External"/><Relationship Id="rId18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5500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C600g" TargetMode="External"/><Relationship Id="rId17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640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951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5200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6200A" TargetMode="External"/><Relationship Id="rId10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5700A" TargetMode="External"/><Relationship Id="rId19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5400A" TargetMode="External"/><Relationship Id="rId14" Type="http://schemas.openxmlformats.org/officeDocument/2006/relationships/hyperlink" Target="https://cmdweb.pcc.gov.tw/pccms/pwreport/ducon2_sum1.boss_list?iwebnam=376hchg&amp;iwebcod=LK137S212522272227262B202R&amp;idate1=1110101&amp;idate2=1120118&amp;ilocal=0&amp;iboscode=37644&amp;ieffect=N&amp;iengunit=37644A500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張文華</dc:creator>
  <cp:lastModifiedBy>張文華</cp:lastModifiedBy>
  <cp:revision>2</cp:revision>
  <cp:lastPrinted>2024-02-01T01:31:00Z</cp:lastPrinted>
  <dcterms:created xsi:type="dcterms:W3CDTF">2024-02-01T01:38:00Z</dcterms:created>
  <dcterms:modified xsi:type="dcterms:W3CDTF">2024-02-01T01:38:00Z</dcterms:modified>
</cp:coreProperties>
</file>