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F" w:rsidRPr="00F10C66" w:rsidRDefault="00754704" w:rsidP="00CC7D11">
      <w:pPr>
        <w:widowControl/>
        <w:kinsoku w:val="0"/>
        <w:overflowPunct w:val="0"/>
        <w:spacing w:line="500" w:lineRule="exact"/>
        <w:jc w:val="center"/>
        <w:rPr>
          <w:rFonts w:ascii="標楷體" w:eastAsia="標楷體" w:hAnsi="標楷體" w:cs="Times New Roman"/>
          <w:b/>
          <w:color w:val="000000" w:themeColor="text1"/>
          <w:sz w:val="44"/>
          <w:szCs w:val="44"/>
        </w:rPr>
      </w:pPr>
      <w:r w:rsidRPr="00F10C66">
        <w:rPr>
          <w:rFonts w:ascii="標楷體" w:eastAsia="標楷體" w:hAnsi="標楷體" w:cs="Times New Roman" w:hint="eastAsia"/>
          <w:b/>
          <w:color w:val="000000" w:themeColor="text1"/>
          <w:sz w:val="44"/>
          <w:szCs w:val="44"/>
        </w:rPr>
        <w:t>新竹縣政府</w:t>
      </w:r>
    </w:p>
    <w:p w:rsidR="00C03229" w:rsidRPr="00F10C66" w:rsidRDefault="006D5087" w:rsidP="00CC7D11">
      <w:pPr>
        <w:widowControl/>
        <w:kinsoku w:val="0"/>
        <w:overflowPunct w:val="0"/>
        <w:spacing w:line="500" w:lineRule="exact"/>
        <w:jc w:val="center"/>
        <w:rPr>
          <w:rFonts w:ascii="標楷體" w:eastAsia="標楷體" w:hAnsi="標楷體" w:cs="Times New Roman"/>
          <w:b/>
          <w:color w:val="000000" w:themeColor="text1"/>
          <w:sz w:val="44"/>
          <w:szCs w:val="44"/>
        </w:rPr>
      </w:pPr>
      <w:r w:rsidRPr="00F10C66">
        <w:rPr>
          <w:rFonts w:ascii="標楷體" w:eastAsia="標楷體" w:hAnsi="標楷體" w:cs="Times New Roman" w:hint="eastAsia"/>
          <w:b/>
          <w:color w:val="000000" w:themeColor="text1"/>
          <w:sz w:val="44"/>
          <w:szCs w:val="44"/>
        </w:rPr>
        <w:t>108年「採購評選委員防貪指引」</w:t>
      </w:r>
    </w:p>
    <w:p w:rsidR="00CC7D11" w:rsidRPr="00F10C66" w:rsidRDefault="00CC7D11" w:rsidP="00CC7D11">
      <w:pPr>
        <w:widowControl/>
        <w:kinsoku w:val="0"/>
        <w:overflowPunct w:val="0"/>
        <w:spacing w:line="500" w:lineRule="exact"/>
        <w:jc w:val="center"/>
        <w:rPr>
          <w:rFonts w:ascii="標楷體" w:eastAsia="標楷體" w:hAnsi="標楷體" w:cs="Times New Roman"/>
          <w:b/>
          <w:color w:val="000000" w:themeColor="text1"/>
          <w:sz w:val="44"/>
          <w:szCs w:val="44"/>
        </w:rPr>
      </w:pPr>
    </w:p>
    <w:p w:rsidR="00CA4449" w:rsidRPr="00F10C66" w:rsidRDefault="001645CB" w:rsidP="00CC7D11">
      <w:pPr>
        <w:widowControl/>
        <w:kinsoku w:val="0"/>
        <w:overflowPunct w:val="0"/>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hint="eastAsia"/>
          <w:b/>
          <w:color w:val="000000" w:themeColor="text1"/>
          <w:sz w:val="32"/>
          <w:szCs w:val="32"/>
        </w:rPr>
        <w:t>壹、</w:t>
      </w:r>
      <w:r w:rsidR="006D5087" w:rsidRPr="00F10C66">
        <w:rPr>
          <w:rFonts w:ascii="標楷體" w:eastAsia="標楷體" w:hAnsi="標楷體" w:cs="Times New Roman" w:hint="eastAsia"/>
          <w:b/>
          <w:color w:val="000000" w:themeColor="text1"/>
          <w:sz w:val="32"/>
          <w:szCs w:val="32"/>
        </w:rPr>
        <w:t>機關主導型</w:t>
      </w:r>
    </w:p>
    <w:p w:rsidR="009A3257" w:rsidRPr="00F10C66" w:rsidRDefault="009A3257"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t>Ω</w:t>
      </w:r>
      <w:r w:rsidRPr="00F10C66">
        <w:rPr>
          <w:rFonts w:ascii="標楷體" w:eastAsia="標楷體" w:hAnsi="標楷體" w:cs="Times New Roman"/>
          <w:b/>
          <w:color w:val="000000" w:themeColor="text1"/>
          <w:sz w:val="32"/>
          <w:szCs w:val="32"/>
        </w:rPr>
        <w:t>類型編號：10</w:t>
      </w:r>
      <w:r w:rsidR="00DD0ADE"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Pr="00F10C66">
        <w:rPr>
          <w:rFonts w:ascii="標楷體" w:eastAsia="標楷體" w:hAnsi="標楷體" w:cs="Times New Roman"/>
          <w:b/>
          <w:color w:val="000000" w:themeColor="text1"/>
          <w:sz w:val="32"/>
          <w:szCs w:val="32"/>
        </w:rPr>
        <w:t>01</w:t>
      </w:r>
    </w:p>
    <w:p w:rsidR="009A3257" w:rsidRPr="00F10C66" w:rsidRDefault="009A3257" w:rsidP="00CC7D11">
      <w:pPr>
        <w:pStyle w:val="a"/>
        <w:numPr>
          <w:ilvl w:val="0"/>
          <w:numId w:val="0"/>
        </w:numPr>
        <w:spacing w:line="500" w:lineRule="exact"/>
        <w:ind w:left="1960" w:hangingChars="610" w:hanging="1960"/>
        <w:rPr>
          <w:rFonts w:ascii="標楷體" w:hAnsi="標楷體"/>
          <w:color w:val="000000" w:themeColor="text1"/>
        </w:rPr>
      </w:pPr>
      <w:r w:rsidRPr="00F10C66">
        <w:rPr>
          <w:rFonts w:ascii="標楷體" w:eastAsia="MS Mincho" w:hAnsi="MS Mincho" w:cs="MS Mincho" w:hint="eastAsia"/>
          <w:color w:val="000000" w:themeColor="text1"/>
          <w:shd w:val="clear" w:color="auto" w:fill="FFFFFF"/>
        </w:rPr>
        <w:t>♎</w:t>
      </w:r>
      <w:r w:rsidRPr="00F10C66">
        <w:rPr>
          <w:rFonts w:ascii="標楷體" w:hAnsi="標楷體"/>
          <w:color w:val="000000" w:themeColor="text1"/>
        </w:rPr>
        <w:t>案例標題：</w:t>
      </w:r>
      <w:r w:rsidR="00AF076F" w:rsidRPr="00F10C66">
        <w:rPr>
          <w:rFonts w:ascii="標楷體" w:hAnsi="標楷體" w:hint="eastAsia"/>
          <w:bCs/>
          <w:color w:val="000000" w:themeColor="text1"/>
        </w:rPr>
        <w:t>承辦單位利用無經驗之評審委員，要求形式評審，導致不正確之開標結果，圖利廠商</w:t>
      </w:r>
    </w:p>
    <w:p w:rsidR="003849EA" w:rsidRPr="00F10C66" w:rsidRDefault="009A3257" w:rsidP="00CC7D11">
      <w:pPr>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9322" w:type="dxa"/>
        <w:tblLook w:val="04A0"/>
      </w:tblPr>
      <w:tblGrid>
        <w:gridCol w:w="817"/>
        <w:gridCol w:w="1559"/>
        <w:gridCol w:w="6946"/>
      </w:tblGrid>
      <w:tr w:rsidR="009A3257" w:rsidRPr="00F10C66" w:rsidTr="00FD1CA5">
        <w:tc>
          <w:tcPr>
            <w:tcW w:w="817"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6946"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6946" w:type="dxa"/>
          </w:tcPr>
          <w:p w:rsidR="001E7286" w:rsidRPr="00F10C66" w:rsidRDefault="00151DF9"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承辦單位利用</w:t>
            </w:r>
            <w:r w:rsidR="00C63AAC" w:rsidRPr="00F10C66">
              <w:rPr>
                <w:rFonts w:ascii="標楷體" w:eastAsia="標楷體" w:hAnsi="標楷體" w:cs="Times New Roman" w:hint="eastAsia"/>
                <w:color w:val="000000" w:themeColor="text1"/>
                <w:sz w:val="32"/>
                <w:szCs w:val="32"/>
              </w:rPr>
              <w:t>無經驗之評審委員，要求形式評審，導致</w:t>
            </w:r>
            <w:r w:rsidRPr="00F10C66">
              <w:rPr>
                <w:rFonts w:ascii="標楷體" w:eastAsia="標楷體" w:hAnsi="標楷體" w:cs="Times New Roman" w:hint="eastAsia"/>
                <w:color w:val="000000" w:themeColor="text1"/>
                <w:sz w:val="32"/>
                <w:szCs w:val="32"/>
              </w:rPr>
              <w:t>不正確之</w:t>
            </w:r>
            <w:r w:rsidR="00C63AAC" w:rsidRPr="00F10C66">
              <w:rPr>
                <w:rFonts w:ascii="標楷體" w:eastAsia="標楷體" w:hAnsi="標楷體" w:cs="Times New Roman" w:hint="eastAsia"/>
                <w:color w:val="000000" w:themeColor="text1"/>
                <w:sz w:val="32"/>
                <w:szCs w:val="32"/>
              </w:rPr>
              <w:t>開標</w:t>
            </w:r>
            <w:r w:rsidRPr="00F10C66">
              <w:rPr>
                <w:rFonts w:ascii="標楷體" w:eastAsia="標楷體" w:hAnsi="標楷體" w:cs="Times New Roman" w:hint="eastAsia"/>
                <w:color w:val="000000" w:themeColor="text1"/>
                <w:sz w:val="32"/>
                <w:szCs w:val="32"/>
              </w:rPr>
              <w:t>結果，圖利廠商(臺灣花蓮地方法院97年訴字第171號刑事判決)</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6D5087" w:rsidRPr="00F10C66">
              <w:rPr>
                <w:rFonts w:ascii="標楷體" w:eastAsia="標楷體" w:hAnsi="標楷體" w:cs="Times New Roman" w:hint="eastAsia"/>
                <w:color w:val="000000" w:themeColor="text1"/>
                <w:sz w:val="32"/>
                <w:szCs w:val="32"/>
              </w:rPr>
              <w:t>摘要</w:t>
            </w:r>
          </w:p>
        </w:tc>
        <w:tc>
          <w:tcPr>
            <w:tcW w:w="6946" w:type="dxa"/>
          </w:tcPr>
          <w:p w:rsidR="00151DF9" w:rsidRPr="00F10C66" w:rsidRDefault="0087768A" w:rsidP="00CC7D11">
            <w:pPr>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某公所課長A主管辦理公園整建工程招標作業(設計監造標與營造標)，與非具公務員身分之B共同基於收取回扣之犯意聯絡，與C、D(甲工程顧問公司負責人)、E(乙營造公司實際負責人)約定，該案由甲設計、C監造、乙營造施作的方式合作，乙營造公司得標取得該工程後，由E給付回扣給B及A。</w:t>
            </w:r>
          </w:p>
          <w:p w:rsidR="009A3257" w:rsidRPr="00F10C66" w:rsidRDefault="0087768A" w:rsidP="0087768A">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細明體" w:hint="eastAsia"/>
                <w:color w:val="000000" w:themeColor="text1"/>
                <w:kern w:val="0"/>
                <w:sz w:val="32"/>
                <w:szCs w:val="32"/>
              </w:rPr>
              <w:t>承辦人F上網公告辦理設計監造標之招標，遴請毫無專業知識之4人(G、H、I、J)及A等5人擔任內聘評審委員，A與F於開標前竟未提供任何招標文件及相關資料供評審委員審酌，於開標時亦不要求廠商辦理簡報或現場詢答，利用評審委員之無專業知識、經驗，由A運作要求各該評審委員為形式之評審，給予甲公司較高之評分，以此非法方法使開標發生不正確之結果，圖利甲公</w:t>
            </w:r>
            <w:r w:rsidRPr="00F10C66">
              <w:rPr>
                <w:rFonts w:ascii="標楷體" w:eastAsia="標楷體" w:hAnsi="標楷體" w:cs="細明體" w:hint="eastAsia"/>
                <w:color w:val="000000" w:themeColor="text1"/>
                <w:kern w:val="0"/>
                <w:sz w:val="32"/>
                <w:szCs w:val="32"/>
              </w:rPr>
              <w:lastRenderedPageBreak/>
              <w:t>司得標取得該標案。</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3</w:t>
            </w:r>
          </w:p>
        </w:tc>
        <w:tc>
          <w:tcPr>
            <w:tcW w:w="1559" w:type="dxa"/>
          </w:tcPr>
          <w:p w:rsidR="009A3257"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6946" w:type="dxa"/>
          </w:tcPr>
          <w:p w:rsidR="00151DF9" w:rsidRPr="00F10C66" w:rsidRDefault="00151DF9" w:rsidP="00CC7D11">
            <w:pPr>
              <w:suppressAutoHyphens/>
              <w:kinsoku w:val="0"/>
              <w:overflowPunct w:val="0"/>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(ㄧ)廠商運用事前聯絡承辦單位主導標案結果</w:t>
            </w:r>
            <w:r w:rsidR="00445D80" w:rsidRPr="00F10C66">
              <w:rPr>
                <w:rFonts w:ascii="標楷體" w:eastAsia="標楷體" w:hAnsi="標楷體" w:cs="細明體" w:hint="eastAsia"/>
                <w:color w:val="000000" w:themeColor="text1"/>
                <w:kern w:val="0"/>
                <w:sz w:val="32"/>
                <w:szCs w:val="32"/>
              </w:rPr>
              <w:t>：</w:t>
            </w:r>
          </w:p>
          <w:p w:rsidR="00151DF9" w:rsidRPr="00F10C66" w:rsidRDefault="00151DF9" w:rsidP="005C4850">
            <w:pPr>
              <w:suppressAutoHyphens/>
              <w:kinsoku w:val="0"/>
              <w:overflowPunct w:val="0"/>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承辦單位</w:t>
            </w:r>
            <w:r w:rsidR="005C4850" w:rsidRPr="00F10C66">
              <w:rPr>
                <w:rFonts w:ascii="標楷體" w:eastAsia="標楷體" w:hAnsi="標楷體" w:cs="細明體" w:hint="eastAsia"/>
                <w:color w:val="000000" w:themeColor="text1"/>
                <w:kern w:val="0"/>
                <w:sz w:val="32"/>
                <w:szCs w:val="32"/>
              </w:rPr>
              <w:t>事先</w:t>
            </w:r>
            <w:r w:rsidRPr="00F10C66">
              <w:rPr>
                <w:rFonts w:ascii="標楷體" w:eastAsia="標楷體" w:hAnsi="標楷體" w:cs="細明體" w:hint="eastAsia"/>
                <w:color w:val="000000" w:themeColor="text1"/>
                <w:kern w:val="0"/>
                <w:sz w:val="32"/>
                <w:szCs w:val="32"/>
              </w:rPr>
              <w:t>內定得標廠商並收取回扣，利用</w:t>
            </w:r>
            <w:r w:rsidR="005C4850" w:rsidRPr="00F10C66">
              <w:rPr>
                <w:rFonts w:ascii="標楷體" w:eastAsia="標楷體" w:hAnsi="標楷體" w:cs="細明體" w:hint="eastAsia"/>
                <w:color w:val="000000" w:themeColor="text1"/>
                <w:kern w:val="0"/>
                <w:sz w:val="32"/>
                <w:szCs w:val="32"/>
              </w:rPr>
              <w:t>機關內之</w:t>
            </w:r>
            <w:r w:rsidRPr="00F10C66">
              <w:rPr>
                <w:rFonts w:ascii="標楷體" w:eastAsia="標楷體" w:hAnsi="標楷體" w:cs="細明體" w:hint="eastAsia"/>
                <w:color w:val="000000" w:themeColor="text1"/>
                <w:kern w:val="0"/>
                <w:sz w:val="32"/>
                <w:szCs w:val="32"/>
              </w:rPr>
              <w:t>評審委員之無經驗，圖利</w:t>
            </w:r>
            <w:r w:rsidR="00FF5546" w:rsidRPr="00F10C66">
              <w:rPr>
                <w:rFonts w:ascii="標楷體" w:eastAsia="標楷體" w:hAnsi="標楷體" w:cs="細明體" w:hint="eastAsia"/>
                <w:color w:val="000000" w:themeColor="text1"/>
                <w:kern w:val="0"/>
                <w:sz w:val="32"/>
                <w:szCs w:val="32"/>
              </w:rPr>
              <w:t>特定</w:t>
            </w:r>
            <w:r w:rsidRPr="00F10C66">
              <w:rPr>
                <w:rFonts w:ascii="標楷體" w:eastAsia="標楷體" w:hAnsi="標楷體" w:cs="細明體" w:hint="eastAsia"/>
                <w:color w:val="000000" w:themeColor="text1"/>
                <w:kern w:val="0"/>
                <w:sz w:val="32"/>
                <w:szCs w:val="32"/>
              </w:rPr>
              <w:t>廠商得標。</w:t>
            </w:r>
          </w:p>
          <w:p w:rsidR="00151DF9" w:rsidRPr="00F10C66" w:rsidRDefault="00151DF9" w:rsidP="00CC7D11">
            <w:pPr>
              <w:suppressAutoHyphens/>
              <w:kinsoku w:val="0"/>
              <w:overflowPunct w:val="0"/>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(二)評審程序流於形式衍生不法情事</w:t>
            </w:r>
            <w:r w:rsidR="00445D80" w:rsidRPr="00F10C66">
              <w:rPr>
                <w:rFonts w:ascii="標楷體" w:eastAsia="標楷體" w:hAnsi="標楷體" w:cs="細明體" w:hint="eastAsia"/>
                <w:color w:val="000000" w:themeColor="text1"/>
                <w:kern w:val="0"/>
                <w:sz w:val="32"/>
                <w:szCs w:val="32"/>
              </w:rPr>
              <w:t>：</w:t>
            </w:r>
          </w:p>
          <w:p w:rsidR="004233C5" w:rsidRPr="00F10C66" w:rsidRDefault="000C3E7C" w:rsidP="0087768A">
            <w:pPr>
              <w:numPr>
                <w:ilvl w:val="1"/>
                <w:numId w:val="38"/>
              </w:numPr>
              <w:spacing w:line="500" w:lineRule="exact"/>
              <w:ind w:leftChars="280" w:left="1032"/>
              <w:jc w:val="both"/>
              <w:rPr>
                <w:rFonts w:ascii="標楷體" w:eastAsia="標楷體" w:hAnsi="標楷體" w:cs="Times New Roman"/>
                <w:color w:val="000000" w:themeColor="text1"/>
                <w:sz w:val="32"/>
                <w:szCs w:val="32"/>
              </w:rPr>
            </w:pPr>
            <w:r w:rsidRPr="00F10C66">
              <w:rPr>
                <w:rFonts w:ascii="標楷體" w:eastAsia="標楷體" w:hAnsi="標楷體" w:cs="細明體" w:hint="eastAsia"/>
                <w:color w:val="000000" w:themeColor="text1"/>
                <w:kern w:val="0"/>
                <w:sz w:val="32"/>
                <w:szCs w:val="32"/>
              </w:rPr>
              <w:t>該公所評審委員遴選機制未臻完善，由未具專業之內聘委員為主，評審過程亦流於形式，致使承辦單位主導評審結果，甚而衍生圖利特定廠商等不法情事。</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4</w:t>
            </w:r>
          </w:p>
        </w:tc>
        <w:tc>
          <w:tcPr>
            <w:tcW w:w="1559" w:type="dxa"/>
          </w:tcPr>
          <w:p w:rsidR="009A3257"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6946" w:type="dxa"/>
          </w:tcPr>
          <w:p w:rsidR="00C63AAC" w:rsidRPr="00F10C66" w:rsidRDefault="00C63AAC" w:rsidP="00CC7D11">
            <w:pPr>
              <w:spacing w:line="500" w:lineRule="exact"/>
              <w:ind w:left="640" w:hangingChars="200" w:hanging="640"/>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(一)慎選採購評審委員，宜優先遴派內部適任人員擔任委員</w:t>
            </w:r>
            <w:r w:rsidR="00445D80" w:rsidRPr="00F10C66">
              <w:rPr>
                <w:rFonts w:ascii="標楷體" w:eastAsia="標楷體" w:hAnsi="標楷體" w:cs="細明體" w:hint="eastAsia"/>
                <w:color w:val="000000" w:themeColor="text1"/>
                <w:kern w:val="0"/>
                <w:sz w:val="32"/>
                <w:szCs w:val="32"/>
              </w:rPr>
              <w:t>：</w:t>
            </w:r>
          </w:p>
          <w:p w:rsidR="00C63AAC" w:rsidRPr="00F10C66" w:rsidRDefault="00C63AAC" w:rsidP="005C4850">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為發揮公務員服務理念</w:t>
            </w:r>
            <w:r w:rsidR="00BA6B18" w:rsidRPr="00F10C66">
              <w:rPr>
                <w:rFonts w:ascii="標楷體" w:eastAsia="標楷體" w:hAnsi="標楷體" w:cs="細明體" w:hint="eastAsia"/>
                <w:color w:val="000000" w:themeColor="text1"/>
                <w:kern w:val="0"/>
                <w:sz w:val="32"/>
                <w:szCs w:val="32"/>
              </w:rPr>
              <w:t>與熱誠，導入公務員專業、守法及熟稔採購評選作業之特質，建請善用</w:t>
            </w:r>
            <w:r w:rsidRPr="00F10C66">
              <w:rPr>
                <w:rFonts w:ascii="標楷體" w:eastAsia="標楷體" w:hAnsi="標楷體" w:cs="細明體" w:hint="eastAsia"/>
                <w:color w:val="000000" w:themeColor="text1"/>
                <w:kern w:val="0"/>
                <w:sz w:val="32"/>
                <w:szCs w:val="32"/>
              </w:rPr>
              <w:t>機關現職品德、操守良好且具專業之公務員參與採購評選案。</w:t>
            </w:r>
          </w:p>
          <w:p w:rsidR="0087768A" w:rsidRPr="00F10C66" w:rsidRDefault="00C63AAC" w:rsidP="0087768A">
            <w:pPr>
              <w:spacing w:line="500" w:lineRule="exact"/>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kern w:val="0"/>
                <w:sz w:val="32"/>
                <w:szCs w:val="32"/>
              </w:rPr>
              <w:t>二</w:t>
            </w:r>
            <w:r w:rsidRPr="00F10C66">
              <w:rPr>
                <w:rFonts w:ascii="標楷體" w:eastAsia="標楷體" w:hAnsi="標楷體" w:cs="細明體" w:hint="eastAsia"/>
                <w:color w:val="000000" w:themeColor="text1"/>
                <w:kern w:val="0"/>
                <w:sz w:val="32"/>
                <w:szCs w:val="32"/>
              </w:rPr>
              <w:t>)</w:t>
            </w:r>
            <w:r w:rsidR="007E7400" w:rsidRPr="00F10C66">
              <w:rPr>
                <w:rFonts w:ascii="標楷體" w:eastAsia="標楷體" w:hAnsi="標楷體" w:cs="細明體" w:hint="eastAsia"/>
                <w:color w:val="000000" w:themeColor="text1"/>
                <w:kern w:val="0"/>
                <w:sz w:val="32"/>
                <w:szCs w:val="32"/>
              </w:rPr>
              <w:t>未達公告金額採購案</w:t>
            </w:r>
            <w:r w:rsidR="0087768A" w:rsidRPr="00F10C66">
              <w:rPr>
                <w:rFonts w:ascii="標楷體" w:eastAsia="標楷體" w:hAnsi="標楷體" w:cs="細明體" w:hint="eastAsia"/>
                <w:color w:val="000000" w:themeColor="text1"/>
                <w:sz w:val="32"/>
                <w:szCs w:val="32"/>
              </w:rPr>
              <w:t>遴聘專家學者補強：</w:t>
            </w:r>
          </w:p>
          <w:p w:rsidR="0087768A"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如機關人員專業不足，再遴聘具有相當經驗、專業及公信力之專業人士、學者參與評選作業，以補足機關內部人員專業不足之處。</w:t>
            </w:r>
          </w:p>
          <w:p w:rsidR="0087768A" w:rsidRPr="00F10C66" w:rsidRDefault="0087768A" w:rsidP="00306267">
            <w:pPr>
              <w:spacing w:line="500" w:lineRule="exact"/>
              <w:ind w:leftChars="280" w:left="672"/>
              <w:jc w:val="both"/>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(三)</w:t>
            </w:r>
            <w:r w:rsidRPr="00F10C66">
              <w:rPr>
                <w:rFonts w:ascii="標楷體" w:eastAsia="標楷體" w:hAnsi="標楷體" w:cs="細明體" w:hint="eastAsia"/>
                <w:color w:val="000000" w:themeColor="text1"/>
                <w:sz w:val="32"/>
                <w:szCs w:val="32"/>
              </w:rPr>
              <w:t>評選委員不得私下接觸與該採購案有關之廠商：</w:t>
            </w:r>
          </w:p>
          <w:p w:rsidR="0087768A"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評選委員應遵守採購人員倫理規則、採購評選委員會委員須知、採購評選委員會審議規則等規定，不得作為投標廠商之分包商或擔任工作成員，亦不得與所辦採購案有利益關係之廠商私下接觸與該採購案有關之事</w:t>
            </w:r>
            <w:r w:rsidRPr="00F10C66">
              <w:rPr>
                <w:rFonts w:ascii="標楷體" w:eastAsia="標楷體" w:hAnsi="標楷體" w:cs="細明體" w:hint="eastAsia"/>
                <w:color w:val="000000" w:themeColor="text1"/>
                <w:kern w:val="0"/>
                <w:sz w:val="32"/>
                <w:szCs w:val="32"/>
              </w:rPr>
              <w:lastRenderedPageBreak/>
              <w:t>務。其有違反者，機關應不決標予該廠商。</w:t>
            </w:r>
          </w:p>
          <w:p w:rsidR="0087768A" w:rsidRPr="00F10C66" w:rsidRDefault="00C63AAC" w:rsidP="0087768A">
            <w:pPr>
              <w:spacing w:line="500" w:lineRule="exact"/>
              <w:ind w:left="640" w:hangingChars="200" w:hanging="640"/>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(四</w:t>
            </w:r>
            <w:r w:rsidR="00FF5546"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sz w:val="32"/>
                <w:szCs w:val="32"/>
              </w:rPr>
              <w:t>加強辦理採購相關人員之法治教育訓練：</w:t>
            </w:r>
          </w:p>
          <w:p w:rsidR="00C63AAC"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公務員、機關約聘僱人員辦理採購案件，或採購評選委員因擔任政府採購法之評選職務等，均屬刑法上認定之公務員，如涉犯圖利、賄賂等違法行為，皆可依刑法、貪污治罪條例等論處，建議每年定期辦理或去參加相關法治教育宣導，從教育面向著手，加強相關人員正確法律認知。</w:t>
            </w:r>
          </w:p>
          <w:p w:rsidR="0087768A" w:rsidRPr="00F10C66" w:rsidRDefault="00C63AAC" w:rsidP="00306267">
            <w:pPr>
              <w:spacing w:line="500" w:lineRule="exact"/>
              <w:ind w:left="640" w:hangingChars="200" w:hanging="640"/>
              <w:jc w:val="both"/>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(五</w:t>
            </w:r>
            <w:r w:rsidR="00FF5546"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sz w:val="32"/>
                <w:szCs w:val="32"/>
              </w:rPr>
              <w:t>評選作業前播放「保護採購評選委員的小叮嚀」：</w:t>
            </w:r>
          </w:p>
          <w:p w:rsidR="009A3257"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採購評選委員因擔任政府採購法之評選職務，係屬刑事法上「授權公務員」身分，為避免評選委員因不熟悉法律相關規定，而誤觸法網，期盼透過事前善意提醒，使評選委員對自身身分及法律規範有所認識，以確保採購公正及公平。</w:t>
            </w:r>
          </w:p>
          <w:p w:rsidR="00A754F7" w:rsidRPr="00F10C66" w:rsidRDefault="00A754F7" w:rsidP="00306267">
            <w:pPr>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(六)建置本縣內聘委員資料庫：</w:t>
            </w:r>
          </w:p>
          <w:p w:rsidR="00A754F7" w:rsidRPr="00F10C66" w:rsidRDefault="00A754F7"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對於特別的業務範疇，由各單位推薦具有專長的主管人員兼任，使府內及所屬機關、公所在辦理採購案時，能夠在資料庫尋找適任人選。須特別注意，資料庫內須有一定比例以上的人員具有採購專業證照</w:t>
            </w:r>
            <w:r w:rsidR="007E7400" w:rsidRPr="00F10C66">
              <w:rPr>
                <w:rFonts w:ascii="標楷體" w:eastAsia="標楷體" w:hAnsi="標楷體" w:cs="標楷體" w:hint="eastAsia"/>
                <w:color w:val="000000" w:themeColor="text1"/>
                <w:sz w:val="32"/>
                <w:szCs w:val="32"/>
              </w:rPr>
              <w:t>，</w:t>
            </w:r>
            <w:r w:rsidRPr="00F10C66">
              <w:rPr>
                <w:rFonts w:ascii="標楷體" w:eastAsia="標楷體" w:hAnsi="標楷體" w:cs="標楷體" w:hint="eastAsia"/>
                <w:color w:val="000000" w:themeColor="text1"/>
                <w:sz w:val="32"/>
                <w:szCs w:val="32"/>
              </w:rPr>
              <w:t>並且注意人員異動狀況，適時修正更新。</w:t>
            </w:r>
          </w:p>
          <w:p w:rsidR="007E7400" w:rsidRPr="00F10C66" w:rsidRDefault="007E7400" w:rsidP="007E7400">
            <w:pPr>
              <w:spacing w:line="500" w:lineRule="exact"/>
              <w:ind w:left="640" w:hangingChars="200" w:hanging="640"/>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(七)落實評選委員宣讀告知事項，增加講解程序：</w:t>
            </w:r>
          </w:p>
          <w:p w:rsidR="007E7400" w:rsidRPr="00F10C66" w:rsidRDefault="007E7400"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因為評選委員並非均為法律專業，可能僅是購案上的專業，而對法律程序不甚瞭解，因此講解是必要的，以降低發生類似情況的機</w:t>
            </w:r>
            <w:r w:rsidRPr="00F10C66">
              <w:rPr>
                <w:rFonts w:ascii="標楷體" w:eastAsia="標楷體" w:hAnsi="標楷體" w:cs="標楷體" w:hint="eastAsia"/>
                <w:color w:val="000000" w:themeColor="text1"/>
                <w:sz w:val="32"/>
                <w:szCs w:val="32"/>
              </w:rPr>
              <w:lastRenderedPageBreak/>
              <w:t>會。</w:t>
            </w:r>
          </w:p>
          <w:p w:rsidR="007E7400" w:rsidRPr="00F10C66" w:rsidRDefault="007E7400" w:rsidP="007E7400">
            <w:pPr>
              <w:spacing w:line="500" w:lineRule="exact"/>
              <w:ind w:left="640" w:hangingChars="200" w:hanging="640"/>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(八)提醒遴聘內部委員時要注意一級主管人數：</w:t>
            </w:r>
          </w:p>
          <w:p w:rsidR="007E7400" w:rsidRPr="00F10C66" w:rsidRDefault="007E7400"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法規定召集人由首長或其授權人員指定或由委員互選產生，委員互選時或是首長或其授權人員指定時，是否有指定到一級主管，這個部分須注意，否則有行政疏失；另請注意若無法令明文規定，參議及秘書是否為一級主管還是從狹義去做解釋比較保險。</w:t>
            </w:r>
          </w:p>
        </w:tc>
      </w:tr>
      <w:tr w:rsidR="009A3257" w:rsidRPr="00F10C66" w:rsidTr="00FD1CA5">
        <w:tc>
          <w:tcPr>
            <w:tcW w:w="817" w:type="dxa"/>
          </w:tcPr>
          <w:p w:rsidR="009A3257" w:rsidRPr="00F10C66" w:rsidRDefault="0030626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6946" w:type="dxa"/>
          </w:tcPr>
          <w:p w:rsidR="006D5087" w:rsidRPr="00F10C66" w:rsidRDefault="006D5087" w:rsidP="005C4850">
            <w:pPr>
              <w:pStyle w:val="a7"/>
              <w:spacing w:line="500" w:lineRule="exact"/>
              <w:ind w:left="0" w:firstLineChars="0" w:firstLine="0"/>
              <w:jc w:val="both"/>
              <w:rPr>
                <w:rFonts w:ascii="標楷體" w:hAnsi="標楷體" w:cstheme="minorBidi"/>
                <w:color w:val="000000" w:themeColor="text1"/>
                <w:szCs w:val="32"/>
              </w:rPr>
            </w:pPr>
            <w:r w:rsidRPr="00F10C66">
              <w:rPr>
                <w:rFonts w:ascii="標楷體" w:hAnsi="標楷體" w:hint="eastAsia"/>
                <w:color w:val="000000" w:themeColor="text1"/>
                <w:szCs w:val="32"/>
              </w:rPr>
              <w:t>貪污治罪條例第4條第1項第3款：建築或經辦公用工程或購辦公用器材、物品，浮報價額、數量、收取回扣或有其他舞弊情事者。</w:t>
            </w:r>
          </w:p>
        </w:tc>
      </w:tr>
      <w:tr w:rsidR="005C4850" w:rsidRPr="00F10C66" w:rsidTr="00FD1CA5">
        <w:tc>
          <w:tcPr>
            <w:tcW w:w="817" w:type="dxa"/>
          </w:tcPr>
          <w:p w:rsidR="005C4850" w:rsidRPr="00F10C66" w:rsidRDefault="0030626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5C4850" w:rsidRPr="00F10C66" w:rsidRDefault="005C4850"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6946" w:type="dxa"/>
          </w:tcPr>
          <w:p w:rsidR="005C4850" w:rsidRPr="00F10C66" w:rsidRDefault="005C4850" w:rsidP="005C4850">
            <w:pPr>
              <w:pStyle w:val="a7"/>
              <w:spacing w:line="500" w:lineRule="exact"/>
              <w:ind w:left="0" w:firstLineChars="0" w:firstLine="0"/>
              <w:jc w:val="both"/>
              <w:rPr>
                <w:rFonts w:ascii="標楷體" w:hAnsi="標楷體" w:cs="細明體"/>
                <w:color w:val="000000" w:themeColor="text1"/>
                <w:kern w:val="0"/>
                <w:szCs w:val="32"/>
              </w:rPr>
            </w:pPr>
            <w:r w:rsidRPr="00F10C66">
              <w:rPr>
                <w:rFonts w:ascii="標楷體" w:hAnsi="標楷體" w:cstheme="minorBidi" w:hint="eastAsia"/>
                <w:color w:val="000000" w:themeColor="text1"/>
                <w:szCs w:val="32"/>
              </w:rPr>
              <w:t>公共工程委員會106年2月22日工程企字第10600051280號函</w:t>
            </w:r>
          </w:p>
        </w:tc>
      </w:tr>
    </w:tbl>
    <w:p w:rsidR="009A3257" w:rsidRPr="00F10C66" w:rsidRDefault="009A3257" w:rsidP="00CC7D11">
      <w:pPr>
        <w:spacing w:line="500" w:lineRule="exact"/>
        <w:jc w:val="both"/>
        <w:rPr>
          <w:rFonts w:ascii="標楷體" w:eastAsia="標楷體" w:hAnsi="標楷體"/>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CA37BE" w:rsidRPr="00F10C66" w:rsidRDefault="00CA37BE" w:rsidP="00CC7D11">
      <w:pPr>
        <w:widowControl/>
        <w:kinsoku w:val="0"/>
        <w:overflowPunct w:val="0"/>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hint="eastAsia"/>
          <w:b/>
          <w:color w:val="000000" w:themeColor="text1"/>
          <w:sz w:val="32"/>
          <w:szCs w:val="32"/>
        </w:rPr>
        <w:t>貳、</w:t>
      </w:r>
      <w:r w:rsidR="006D5087" w:rsidRPr="00F10C66">
        <w:rPr>
          <w:rFonts w:ascii="標楷體" w:eastAsia="標楷體" w:hAnsi="標楷體" w:hint="eastAsia"/>
          <w:b/>
          <w:color w:val="000000" w:themeColor="text1"/>
          <w:sz w:val="32"/>
          <w:szCs w:val="32"/>
        </w:rPr>
        <w:t>廠商主導型</w:t>
      </w:r>
    </w:p>
    <w:p w:rsidR="00295868" w:rsidRPr="00F10C66" w:rsidRDefault="00295868"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類型編號：10</w:t>
      </w:r>
      <w:r w:rsidR="001E7286"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Pr="00F10C66">
        <w:rPr>
          <w:rFonts w:ascii="標楷體" w:eastAsia="標楷體" w:hAnsi="標楷體" w:cs="Times New Roman"/>
          <w:b/>
          <w:color w:val="000000" w:themeColor="text1"/>
          <w:sz w:val="32"/>
          <w:szCs w:val="32"/>
        </w:rPr>
        <w:t>0</w:t>
      </w:r>
      <w:r w:rsidRPr="00F10C66">
        <w:rPr>
          <w:rFonts w:ascii="標楷體" w:eastAsia="標楷體" w:hAnsi="標楷體" w:cs="Times New Roman" w:hint="eastAsia"/>
          <w:b/>
          <w:color w:val="000000" w:themeColor="text1"/>
          <w:sz w:val="32"/>
          <w:szCs w:val="32"/>
        </w:rPr>
        <w:t>2</w:t>
      </w:r>
    </w:p>
    <w:p w:rsidR="00FC295E" w:rsidRPr="00F10C66" w:rsidRDefault="00EE0812" w:rsidP="00CC7D11">
      <w:pPr>
        <w:spacing w:line="500" w:lineRule="exact"/>
        <w:ind w:left="1952" w:hangingChars="610" w:hanging="1952"/>
        <w:jc w:val="both"/>
        <w:rPr>
          <w:rFonts w:ascii="標楷體" w:eastAsia="標楷體" w:hAnsi="標楷體" w:cs="Times New Roman"/>
          <w:b/>
          <w:color w:val="000000" w:themeColor="text1"/>
          <w:sz w:val="32"/>
          <w:szCs w:val="32"/>
        </w:rPr>
      </w:pPr>
      <w:r w:rsidRPr="00F10C66">
        <w:rPr>
          <w:rFonts w:ascii="標楷體" w:eastAsia="MS Mincho" w:hAnsi="MS Mincho" w:cs="MS Mincho" w:hint="eastAsia"/>
          <w:color w:val="000000" w:themeColor="text1"/>
          <w:sz w:val="32"/>
          <w:szCs w:val="32"/>
          <w:shd w:val="clear" w:color="auto" w:fill="FFFFFF"/>
        </w:rPr>
        <w:t>♎</w:t>
      </w:r>
      <w:r w:rsidR="00295868" w:rsidRPr="00F10C66">
        <w:rPr>
          <w:rFonts w:ascii="標楷體" w:eastAsia="標楷體" w:hAnsi="標楷體" w:cs="Times New Roman"/>
          <w:b/>
          <w:color w:val="000000" w:themeColor="text1"/>
          <w:sz w:val="32"/>
          <w:szCs w:val="32"/>
        </w:rPr>
        <w:t>案例標題：</w:t>
      </w:r>
      <w:r w:rsidR="006D5087" w:rsidRPr="00F10C66">
        <w:rPr>
          <w:rFonts w:ascii="標楷體" w:eastAsia="標楷體" w:hAnsi="標楷體" w:cs="Times New Roman" w:hint="eastAsia"/>
          <w:b/>
          <w:color w:val="000000" w:themeColor="text1"/>
          <w:sz w:val="32"/>
          <w:szCs w:val="32"/>
        </w:rPr>
        <w:t>設計單位答謝公務員於辦理評選過程，使其得標及更改底價，事後交付賄款</w:t>
      </w:r>
    </w:p>
    <w:p w:rsidR="00295868" w:rsidRPr="00F10C66" w:rsidRDefault="00295868" w:rsidP="00CC7D11">
      <w:pPr>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tblPr>
      <w:tblGrid>
        <w:gridCol w:w="817"/>
        <w:gridCol w:w="1559"/>
        <w:gridCol w:w="7088"/>
      </w:tblGrid>
      <w:tr w:rsidR="00295868" w:rsidRPr="00F10C66" w:rsidTr="00FD1CA5">
        <w:tc>
          <w:tcPr>
            <w:tcW w:w="817"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FC295E" w:rsidRPr="00F10C66" w:rsidRDefault="006D5087" w:rsidP="00754807">
            <w:pPr>
              <w:pStyle w:val="HTML"/>
              <w:shd w:val="clear" w:color="auto" w:fill="FFFFFF"/>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設計單位答謝公務員於辦理評選過程，使其得標及更改底價，事後交付賄款(臺灣新竹地方法院102年度原訴字第2號刑事判決)</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6D5087" w:rsidRPr="00F10C66">
              <w:rPr>
                <w:rFonts w:ascii="標楷體" w:eastAsia="標楷體" w:hAnsi="標楷體" w:cs="Times New Roman" w:hint="eastAsia"/>
                <w:color w:val="000000" w:themeColor="text1"/>
                <w:sz w:val="32"/>
                <w:szCs w:val="32"/>
              </w:rPr>
              <w:t>摘要</w:t>
            </w:r>
          </w:p>
        </w:tc>
        <w:tc>
          <w:tcPr>
            <w:tcW w:w="7088" w:type="dxa"/>
          </w:tcPr>
          <w:p w:rsidR="00693391" w:rsidRPr="00F10C66" w:rsidRDefault="00693391" w:rsidP="0069339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甲工程技術顧問公司負責人為求順利得標，乃於評選作業前及當日親至乙鄉公所向A、B、C等公務員並擔任機關之採購評選委員尋求支持，嗣後評選決議結果由該公司以名次積分第1 取得優先議價資格。該公司負責人為表答謝，於評選後交付公務員A新台幣2萬元。於評選數日後該負責人至該鄉公所向承辦人D探詢得知上開採購案之底價為130 萬元。</w:t>
            </w:r>
          </w:p>
          <w:p w:rsidR="00295868" w:rsidRPr="00F10C66" w:rsidRDefault="00693391" w:rsidP="0069339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惟該公司負責人向B表示該案係採限制性招標，底價之訂定應依政府採購法施行細則第54條第3 項規定，有關限制性招標之議價，訂定底價前應先參考廠商之報價或估價單，爰公務員B自D處抽取之前由A核定之底價表，責成不知上情之約僱人員E繕寫底價表後，由D重新簽陳底價，經A再次核定底價為170 萬元。後該採購案辦理議價，由該負責人填寫願以底價承作而決標。嗣後該公司負責人因感於上開標案之底價經A提高至170 萬元，且接續交付A新台幣3 萬元。</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3</w:t>
            </w:r>
          </w:p>
        </w:tc>
        <w:tc>
          <w:tcPr>
            <w:tcW w:w="1559" w:type="dxa"/>
          </w:tcPr>
          <w:p w:rsidR="00295868"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F26585" w:rsidRPr="00F10C66" w:rsidRDefault="006D5087" w:rsidP="00F26585">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(一)為求得標，廠商易利用關係，施用不正手段</w:t>
            </w:r>
            <w:r w:rsidR="00445D80" w:rsidRPr="00F10C66">
              <w:rPr>
                <w:rFonts w:ascii="標楷體" w:eastAsia="標楷體" w:hAnsi="標楷體" w:cs="細明體" w:hint="eastAsia"/>
                <w:color w:val="000000" w:themeColor="text1"/>
                <w:kern w:val="0"/>
                <w:sz w:val="32"/>
                <w:szCs w:val="32"/>
              </w:rPr>
              <w:t>：</w:t>
            </w:r>
          </w:p>
          <w:p w:rsidR="006D5087" w:rsidRPr="00F10C66" w:rsidRDefault="000C3E7C" w:rsidP="00F26585">
            <w:pPr>
              <w:spacing w:line="500" w:lineRule="exact"/>
              <w:ind w:leftChars="280" w:left="672"/>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技術顧問公司間競爭激烈，部分廠商為獲得勞務採購案件，擬透過公務員或評選委員私下請託關說，以達得標目的並於事後給予金錢或不正利益。</w:t>
            </w:r>
          </w:p>
          <w:p w:rsidR="006D5087" w:rsidRPr="00F10C66" w:rsidRDefault="006D5087" w:rsidP="00F26585">
            <w:pPr>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(二)</w:t>
            </w:r>
            <w:r w:rsidR="00A04DD0" w:rsidRPr="00F10C66">
              <w:rPr>
                <w:rFonts w:ascii="標楷體" w:eastAsia="標楷體" w:hAnsi="標楷體" w:cs="Times New Roman" w:hint="eastAsia"/>
                <w:color w:val="000000" w:themeColor="text1"/>
                <w:sz w:val="32"/>
                <w:szCs w:val="32"/>
              </w:rPr>
              <w:t>部分公務員為求私利，利用</w:t>
            </w:r>
            <w:r w:rsidRPr="00F10C66">
              <w:rPr>
                <w:rFonts w:ascii="標楷體" w:eastAsia="標楷體" w:hAnsi="標楷體" w:cs="Times New Roman" w:hint="eastAsia"/>
                <w:color w:val="000000" w:themeColor="text1"/>
                <w:sz w:val="32"/>
                <w:szCs w:val="32"/>
              </w:rPr>
              <w:t>職務</w:t>
            </w:r>
            <w:r w:rsidR="00A04DD0" w:rsidRPr="00F10C66">
              <w:rPr>
                <w:rFonts w:ascii="標楷體" w:eastAsia="標楷體" w:hAnsi="標楷體" w:cs="Times New Roman" w:hint="eastAsia"/>
                <w:color w:val="000000" w:themeColor="text1"/>
                <w:sz w:val="32"/>
                <w:szCs w:val="32"/>
              </w:rPr>
              <w:t>機會</w:t>
            </w:r>
            <w:r w:rsidRPr="00F10C66">
              <w:rPr>
                <w:rFonts w:ascii="標楷體" w:eastAsia="標楷體" w:hAnsi="標楷體" w:cs="Times New Roman" w:hint="eastAsia"/>
                <w:color w:val="000000" w:themeColor="text1"/>
                <w:sz w:val="32"/>
                <w:szCs w:val="32"/>
              </w:rPr>
              <w:t>換取金錢</w:t>
            </w:r>
            <w:r w:rsidR="00445D80" w:rsidRPr="00F10C66">
              <w:rPr>
                <w:rFonts w:ascii="標楷體" w:eastAsia="標楷體" w:hAnsi="標楷體" w:cs="細明體" w:hint="eastAsia"/>
                <w:color w:val="000000" w:themeColor="text1"/>
                <w:kern w:val="0"/>
                <w:sz w:val="32"/>
                <w:szCs w:val="32"/>
              </w:rPr>
              <w:t>：</w:t>
            </w:r>
          </w:p>
          <w:p w:rsidR="007F4EEB" w:rsidRPr="00F10C66" w:rsidRDefault="000C3E7C" w:rsidP="00F26585">
            <w:pPr>
              <w:pStyle w:val="a6"/>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大部分公務員依法行政，然部分公務員利用職務上機會，將公權力或公務資訊交予廠商，使形成不公平競爭，並讓自身陷入法網。</w:t>
            </w:r>
          </w:p>
          <w:p w:rsidR="00F26585" w:rsidRPr="00F10C66" w:rsidRDefault="00633878" w:rsidP="00F26585">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(三)訂定底價程序錯誤：</w:t>
            </w:r>
          </w:p>
          <w:p w:rsidR="00295868" w:rsidRPr="00F10C66" w:rsidRDefault="000C3E7C" w:rsidP="00F26585">
            <w:pPr>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本案採限制性招標之議價，然未依政府採購法施行細則第54條第3 項規定，應先參考廠商之報價或估價單再訂定底價，相關程序錯誤使廠商有機可乘，致使底價最終以不正當方式被提高。</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4</w:t>
            </w:r>
          </w:p>
        </w:tc>
        <w:tc>
          <w:tcPr>
            <w:tcW w:w="1559" w:type="dxa"/>
          </w:tcPr>
          <w:p w:rsidR="00295868"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F26585" w:rsidRPr="00F10C66" w:rsidRDefault="006D5087" w:rsidP="00F26585">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(一)評選作業</w:t>
            </w:r>
            <w:r w:rsidR="001F5FBE" w:rsidRPr="00F10C66">
              <w:rPr>
                <w:rFonts w:ascii="標楷體" w:hAnsi="標楷體" w:hint="eastAsia"/>
                <w:color w:val="000000" w:themeColor="text1"/>
                <w:szCs w:val="32"/>
              </w:rPr>
              <w:t>前撥放「保護採購評選委員的小叮嚀」</w:t>
            </w:r>
            <w:r w:rsidR="00445D80" w:rsidRPr="00F10C66">
              <w:rPr>
                <w:rFonts w:ascii="標楷體" w:hAnsi="標楷體" w:cs="細明體" w:hint="eastAsia"/>
                <w:color w:val="000000" w:themeColor="text1"/>
                <w:kern w:val="0"/>
                <w:szCs w:val="32"/>
              </w:rPr>
              <w:t>：</w:t>
            </w:r>
          </w:p>
          <w:p w:rsidR="006D5087" w:rsidRPr="00F10C66" w:rsidRDefault="00AE687E"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採購評選委員因擔任政府採購法之評選職務，係屬刑事法上「授權公務員」身分，為避免評選委員因不熟悉法律相關規定，而誤觸法網，期盼透過事前善意提醒，使評選委員對自身身分及法律規範有所認識，以確保採購公正及公平。</w:t>
            </w:r>
          </w:p>
          <w:p w:rsidR="006D5087" w:rsidRPr="00F10C66" w:rsidRDefault="006D5087"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(二)評選(審)</w:t>
            </w:r>
            <w:r w:rsidR="001F5FBE" w:rsidRPr="00F10C66">
              <w:rPr>
                <w:rFonts w:ascii="標楷體" w:hAnsi="標楷體" w:hint="eastAsia"/>
                <w:color w:val="000000" w:themeColor="text1"/>
                <w:szCs w:val="32"/>
              </w:rPr>
              <w:t>委員名單宜採取</w:t>
            </w:r>
            <w:r w:rsidR="00A04DD0" w:rsidRPr="00F10C66">
              <w:rPr>
                <w:rFonts w:ascii="標楷體" w:hAnsi="標楷體" w:hint="eastAsia"/>
                <w:color w:val="000000" w:themeColor="text1"/>
                <w:szCs w:val="32"/>
              </w:rPr>
              <w:t>原則</w:t>
            </w:r>
            <w:r w:rsidR="001F5FBE" w:rsidRPr="00F10C66">
              <w:rPr>
                <w:rFonts w:ascii="標楷體" w:hAnsi="標楷體" w:hint="eastAsia"/>
                <w:color w:val="000000" w:themeColor="text1"/>
                <w:szCs w:val="32"/>
              </w:rPr>
              <w:t>公開，例外不公開</w:t>
            </w:r>
            <w:r w:rsidR="00A04DD0" w:rsidRPr="00F10C66">
              <w:rPr>
                <w:rFonts w:ascii="標楷體" w:hAnsi="標楷體" w:hint="eastAsia"/>
                <w:color w:val="000000" w:themeColor="text1"/>
                <w:szCs w:val="32"/>
              </w:rPr>
              <w:t>方式</w:t>
            </w:r>
            <w:r w:rsidR="001F5FBE" w:rsidRPr="00F10C66">
              <w:rPr>
                <w:rFonts w:ascii="標楷體" w:hAnsi="標楷體" w:hint="eastAsia"/>
                <w:color w:val="000000" w:themeColor="text1"/>
                <w:szCs w:val="32"/>
              </w:rPr>
              <w:t>，落實公開透明程序</w:t>
            </w:r>
            <w:r w:rsidR="00445D80" w:rsidRPr="00F10C66">
              <w:rPr>
                <w:rFonts w:ascii="標楷體" w:hAnsi="標楷體" w:cs="細明體" w:hint="eastAsia"/>
                <w:color w:val="000000" w:themeColor="text1"/>
                <w:kern w:val="0"/>
                <w:szCs w:val="32"/>
              </w:rPr>
              <w:t>：</w:t>
            </w:r>
          </w:p>
          <w:p w:rsidR="006D5087" w:rsidRPr="00F10C66" w:rsidRDefault="00AE687E"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為達評選委員資訊公開透明目的，避免外界質疑黑箱作業及委員名單外洩爭議，工程會已於107年8月8日修正「採購評選委員會</w:t>
            </w:r>
            <w:r w:rsidRPr="00F10C66">
              <w:rPr>
                <w:rFonts w:ascii="標楷體" w:hAnsi="標楷體" w:hint="eastAsia"/>
                <w:color w:val="000000" w:themeColor="text1"/>
                <w:szCs w:val="32"/>
              </w:rPr>
              <w:lastRenderedPageBreak/>
              <w:t>組織準則」第6條，定明採購評選委員會成立後，機關應即將委員名單公開或不公開之相關規定，以公開為原則，不公開為例外。</w:t>
            </w:r>
            <w:r w:rsidR="00E87357" w:rsidRPr="00F10C66">
              <w:rPr>
                <w:rFonts w:ascii="標楷體" w:hAnsi="標楷體" w:hint="eastAsia"/>
                <w:color w:val="000000" w:themeColor="text1"/>
                <w:szCs w:val="32"/>
              </w:rPr>
              <w:t>另請於評選前宣讀告知事項之程序中</w:t>
            </w:r>
            <w:r w:rsidR="00E87357" w:rsidRPr="00F10C66">
              <w:rPr>
                <w:rFonts w:hint="eastAsia"/>
                <w:color w:val="000000" w:themeColor="text1"/>
              </w:rPr>
              <w:t>提醒委員，只要有廠商電話打來，無論委員是否接受，都應該做成紀錄較保險。</w:t>
            </w:r>
          </w:p>
          <w:p w:rsidR="00AE687E" w:rsidRPr="00F10C66" w:rsidRDefault="006D5087" w:rsidP="00AE687E">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(三)</w:t>
            </w:r>
            <w:r w:rsidR="00AE687E" w:rsidRPr="00F10C66">
              <w:rPr>
                <w:rFonts w:ascii="標楷體" w:hAnsi="標楷體" w:hint="eastAsia"/>
                <w:color w:val="000000" w:themeColor="text1"/>
                <w:szCs w:val="32"/>
              </w:rPr>
              <w:t>評選委員評分力求客觀公正：</w:t>
            </w:r>
          </w:p>
          <w:p w:rsidR="006D5087" w:rsidRPr="00F10C66" w:rsidRDefault="00AE687E" w:rsidP="00F26585">
            <w:pPr>
              <w:pStyle w:val="a7"/>
              <w:spacing w:line="500" w:lineRule="exact"/>
              <w:ind w:leftChars="280" w:left="672" w:firstLineChars="0" w:firstLine="0"/>
              <w:jc w:val="both"/>
              <w:rPr>
                <w:color w:val="000000" w:themeColor="text1"/>
              </w:rPr>
            </w:pPr>
            <w:r w:rsidRPr="00F10C66">
              <w:rPr>
                <w:rFonts w:ascii="標楷體" w:hAnsi="標楷體" w:hint="eastAsia"/>
                <w:color w:val="000000" w:themeColor="text1"/>
                <w:szCs w:val="32"/>
              </w:rPr>
              <w:t>依據「採購評選程序精進措施」規定，於招標文件預先公告委員名單之評選案，招標文件可附記：「廠商於決標前不得與委員就本採購有接洽、請託、關說、行賄或施壓之情形。廠商有上述情形之ㄧ者，適用政府採購法第50條第1項第1款或第7款規定。」如接獲委員通知廠商有上開情形，機關可依政府採購法第16條及其施行細則第17條規定作成紀錄，並經委員確認後，依個案事實及上開招標文件規定，就廠商所投之標不予開標、不予決標。</w:t>
            </w:r>
            <w:r w:rsidR="008C78E0" w:rsidRPr="00F10C66">
              <w:rPr>
                <w:rFonts w:ascii="標楷體" w:hAnsi="標楷體" w:hint="eastAsia"/>
                <w:color w:val="000000" w:themeColor="text1"/>
                <w:szCs w:val="32"/>
              </w:rPr>
              <w:t>另請</w:t>
            </w:r>
            <w:r w:rsidR="008C78E0" w:rsidRPr="00F10C66">
              <w:rPr>
                <w:rFonts w:hint="eastAsia"/>
                <w:color w:val="000000" w:themeColor="text1"/>
              </w:rPr>
              <w:t>提醒辦理採購的工作小組或承辦人員，把逐項討論列入評選標準作業流程</w:t>
            </w:r>
            <w:r w:rsidR="008C78E0" w:rsidRPr="00F10C66">
              <w:rPr>
                <w:rFonts w:hint="eastAsia"/>
                <w:color w:val="000000" w:themeColor="text1"/>
              </w:rPr>
              <w:t>(SOP)</w:t>
            </w:r>
            <w:r w:rsidR="008C78E0" w:rsidRPr="00F10C66">
              <w:rPr>
                <w:rFonts w:hint="eastAsia"/>
                <w:color w:val="000000" w:themeColor="text1"/>
              </w:rPr>
              <w:t>裡。</w:t>
            </w:r>
          </w:p>
          <w:p w:rsidR="008C78E0" w:rsidRPr="00F10C66" w:rsidRDefault="008C78E0" w:rsidP="00CC7D11">
            <w:pPr>
              <w:pStyle w:val="a7"/>
              <w:spacing w:line="500" w:lineRule="exact"/>
              <w:ind w:left="0" w:firstLineChars="0" w:firstLine="0"/>
              <w:jc w:val="both"/>
              <w:rPr>
                <w:color w:val="000000" w:themeColor="text1"/>
              </w:rPr>
            </w:pPr>
            <w:r w:rsidRPr="00F10C66">
              <w:rPr>
                <w:rFonts w:ascii="標楷體" w:hAnsi="標楷體" w:hint="eastAsia"/>
                <w:color w:val="000000" w:themeColor="text1"/>
                <w:szCs w:val="32"/>
              </w:rPr>
              <w:t>(四)</w:t>
            </w:r>
            <w:r w:rsidRPr="00F10C66">
              <w:rPr>
                <w:rFonts w:hint="eastAsia"/>
                <w:color w:val="000000" w:themeColor="text1"/>
              </w:rPr>
              <w:t>交叉比對內外部委員的評分：</w:t>
            </w:r>
          </w:p>
          <w:p w:rsidR="008C78E0" w:rsidRPr="00F10C66" w:rsidRDefault="008C78E0"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cs="標楷體" w:hint="eastAsia"/>
                <w:color w:val="000000" w:themeColor="text1"/>
                <w:szCs w:val="32"/>
              </w:rPr>
              <w:t>廠商主導要達到影響結果的話，不能只找1位委員，因為1位委員的結果還不足以影響最後的分數，所以一定是多位的，因此可以交叉比對內外部委員的評分，避免相似情形發生。</w:t>
            </w:r>
          </w:p>
          <w:p w:rsidR="006D5087" w:rsidRPr="00F10C66" w:rsidRDefault="006D5087"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w:t>
            </w:r>
            <w:r w:rsidR="008C78E0" w:rsidRPr="00F10C66">
              <w:rPr>
                <w:rFonts w:ascii="標楷體" w:hAnsi="標楷體" w:hint="eastAsia"/>
                <w:color w:val="000000" w:themeColor="text1"/>
                <w:szCs w:val="32"/>
              </w:rPr>
              <w:t>五</w:t>
            </w:r>
            <w:r w:rsidRPr="00F10C66">
              <w:rPr>
                <w:rFonts w:ascii="標楷體" w:hAnsi="標楷體" w:hint="eastAsia"/>
                <w:color w:val="000000" w:themeColor="text1"/>
                <w:szCs w:val="32"/>
              </w:rPr>
              <w:t>)訂定底價作業程序</w:t>
            </w:r>
            <w:r w:rsidR="00445D80" w:rsidRPr="00F10C66">
              <w:rPr>
                <w:rFonts w:ascii="標楷體" w:hAnsi="標楷體" w:cs="細明體" w:hint="eastAsia"/>
                <w:color w:val="000000" w:themeColor="text1"/>
                <w:kern w:val="0"/>
                <w:szCs w:val="32"/>
              </w:rPr>
              <w:t>：</w:t>
            </w:r>
          </w:p>
          <w:p w:rsidR="00AE687E" w:rsidRPr="00F10C66" w:rsidRDefault="00AE687E" w:rsidP="00AE687E">
            <w:pPr>
              <w:pStyle w:val="a7"/>
              <w:spacing w:line="50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1.於開標前訂定底價者，就規劃、設計、需求或</w:t>
            </w:r>
            <w:r w:rsidRPr="00F10C66">
              <w:rPr>
                <w:rFonts w:ascii="標楷體" w:hAnsi="標楷體" w:hint="eastAsia"/>
                <w:color w:val="000000" w:themeColor="text1"/>
                <w:szCs w:val="32"/>
              </w:rPr>
              <w:lastRenderedPageBreak/>
              <w:t>使用單位提出之底價預估金額及其分析，檢討後簽報機關首長或其授權人員核定底價。另應注意底價之保密規定。</w:t>
            </w:r>
          </w:p>
          <w:p w:rsidR="008C78E0" w:rsidRPr="00F10C66" w:rsidRDefault="00AE687E" w:rsidP="00AE687E">
            <w:pPr>
              <w:pStyle w:val="a7"/>
              <w:spacing w:line="50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2.限制性招標之底價應於議價或比價前定之。限制性招標之比價，其底價應於辦理比價之開標前定之；限制性招標之議價，應依政府採購法施行細則第54條第3項規定，訂定底價前應先參考廠商之報價或估價單。</w:t>
            </w:r>
          </w:p>
          <w:p w:rsidR="00F26585" w:rsidRPr="00F10C66" w:rsidRDefault="008C78E0" w:rsidP="00F26585">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(六)內部控制-強化主計等單位在監辦角色的功能：</w:t>
            </w:r>
          </w:p>
          <w:p w:rsidR="008C78E0" w:rsidRPr="00F10C66" w:rsidRDefault="008C78E0"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監辦單位應加強注意採購程序之正確性，包含開標、比價、議價、決標、驗收，如本案開標時，限制性招標僅1家廠商投標之情形，應適時提醒業務單位依照政府採購法施行細則第54條第3項規定，應參考廠商之報價或估價單重新簽陳底價。</w:t>
            </w:r>
          </w:p>
        </w:tc>
      </w:tr>
      <w:tr w:rsidR="00295868" w:rsidRPr="00F10C66" w:rsidTr="00FD1CA5">
        <w:tc>
          <w:tcPr>
            <w:tcW w:w="817" w:type="dxa"/>
          </w:tcPr>
          <w:p w:rsidR="00295868"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7088" w:type="dxa"/>
          </w:tcPr>
          <w:p w:rsidR="006D5087" w:rsidRPr="00F10C66" w:rsidRDefault="006D5087" w:rsidP="00754807">
            <w:pPr>
              <w:pStyle w:val="HTML"/>
              <w:shd w:val="clear" w:color="auto" w:fill="FFFFFF"/>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貪污治罪條例第5條第1項第3款：對於職務上之行為，要求、期約或收受賄賂或其他不正利益者。</w:t>
            </w:r>
          </w:p>
        </w:tc>
      </w:tr>
      <w:tr w:rsidR="00754807" w:rsidRPr="00F10C66" w:rsidTr="00FD1CA5">
        <w:tc>
          <w:tcPr>
            <w:tcW w:w="817" w:type="dxa"/>
          </w:tcPr>
          <w:p w:rsidR="00754807" w:rsidRPr="00F10C66" w:rsidRDefault="00F26585" w:rsidP="003948D4">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754807" w:rsidRPr="00F10C66" w:rsidRDefault="00754807" w:rsidP="00754807">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(一)採購評選委員會組織準則。</w:t>
            </w:r>
          </w:p>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二</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公共工程委員會</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作業程序說明表</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訂定底價。</w:t>
            </w:r>
          </w:p>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(三)採購評選程序精進措施。</w:t>
            </w:r>
          </w:p>
          <w:p w:rsidR="00197185" w:rsidRPr="00F10C66" w:rsidRDefault="00197185" w:rsidP="00754807">
            <w:pPr>
              <w:pStyle w:val="HTML"/>
              <w:shd w:val="clear" w:color="auto" w:fill="FFFFFF"/>
              <w:spacing w:line="500" w:lineRule="exact"/>
              <w:ind w:left="640" w:hangingChars="200" w:hanging="640"/>
              <w:jc w:val="both"/>
              <w:rPr>
                <w:rFonts w:ascii="標楷體" w:eastAsia="標楷體" w:hAnsi="標楷體"/>
                <w:color w:val="000000" w:themeColor="text1"/>
                <w:sz w:val="32"/>
                <w:szCs w:val="32"/>
              </w:rPr>
            </w:pPr>
            <w:r w:rsidRPr="00F10C66">
              <w:rPr>
                <w:rFonts w:ascii="標楷體" w:eastAsia="標楷體" w:hAnsi="標楷體" w:cs="Times New Roman" w:hint="eastAsia"/>
                <w:color w:val="000000" w:themeColor="text1"/>
                <w:sz w:val="32"/>
                <w:szCs w:val="32"/>
              </w:rPr>
              <w:t>(四)公共工程委員會107年9月20日工程企字第10700250240號</w:t>
            </w:r>
          </w:p>
        </w:tc>
      </w:tr>
    </w:tbl>
    <w:p w:rsidR="008F4AE6" w:rsidRPr="00F10C66" w:rsidRDefault="008F4AE6"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8F4AE6" w:rsidRPr="00F10C66" w:rsidRDefault="008F4AE6"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6D5087" w:rsidRPr="00F10C66" w:rsidRDefault="006D5087" w:rsidP="00CC7D11">
      <w:pPr>
        <w:widowControl/>
        <w:kinsoku w:val="0"/>
        <w:overflowPunct w:val="0"/>
        <w:spacing w:line="500" w:lineRule="exact"/>
        <w:jc w:val="both"/>
        <w:rPr>
          <w:rFonts w:ascii="標楷體" w:eastAsia="標楷體" w:hAnsi="標楷體" w:cs="Times New Roman"/>
          <w:b/>
          <w:color w:val="000000" w:themeColor="text1"/>
          <w:sz w:val="32"/>
          <w:szCs w:val="32"/>
        </w:rPr>
      </w:pPr>
      <w:bookmarkStart w:id="0" w:name="_GoBack"/>
      <w:bookmarkEnd w:id="0"/>
      <w:r w:rsidRPr="00F10C66">
        <w:rPr>
          <w:rFonts w:ascii="標楷體" w:eastAsia="標楷體" w:hAnsi="標楷體" w:cs="Times New Roman" w:hint="eastAsia"/>
          <w:b/>
          <w:color w:val="000000" w:themeColor="text1"/>
          <w:sz w:val="32"/>
          <w:szCs w:val="32"/>
        </w:rPr>
        <w:t>参、仲介型</w:t>
      </w:r>
    </w:p>
    <w:p w:rsidR="002D189F" w:rsidRPr="00F10C66" w:rsidRDefault="002D189F"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w:t>
      </w:r>
      <w:r w:rsidR="002D6F3D" w:rsidRPr="00F10C66">
        <w:rPr>
          <w:rFonts w:ascii="標楷體" w:eastAsia="標楷體" w:hAnsi="標楷體" w:cs="Times New Roman"/>
          <w:b/>
          <w:color w:val="000000" w:themeColor="text1"/>
          <w:sz w:val="32"/>
          <w:szCs w:val="32"/>
        </w:rPr>
        <w:t>10</w:t>
      </w:r>
      <w:r w:rsidR="002D6F3D"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002D6F3D" w:rsidRPr="00F10C66">
        <w:rPr>
          <w:rFonts w:ascii="標楷體" w:eastAsia="標楷體" w:hAnsi="標楷體" w:cs="Times New Roman"/>
          <w:b/>
          <w:color w:val="000000" w:themeColor="text1"/>
          <w:sz w:val="32"/>
          <w:szCs w:val="32"/>
        </w:rPr>
        <w:t>0</w:t>
      </w:r>
      <w:r w:rsidR="002D6F3D" w:rsidRPr="00F10C66">
        <w:rPr>
          <w:rFonts w:ascii="標楷體" w:eastAsia="標楷體" w:hAnsi="標楷體" w:cs="Times New Roman" w:hint="eastAsia"/>
          <w:b/>
          <w:color w:val="000000" w:themeColor="text1"/>
          <w:sz w:val="32"/>
          <w:szCs w:val="32"/>
        </w:rPr>
        <w:t>3</w:t>
      </w:r>
    </w:p>
    <w:p w:rsidR="002D189F" w:rsidRPr="00F10C66" w:rsidRDefault="002D189F" w:rsidP="00CC7D11">
      <w:pPr>
        <w:pStyle w:val="a"/>
        <w:numPr>
          <w:ilvl w:val="0"/>
          <w:numId w:val="0"/>
        </w:numPr>
        <w:spacing w:line="500" w:lineRule="exact"/>
        <w:ind w:left="1960" w:hangingChars="610" w:hanging="1960"/>
        <w:rPr>
          <w:rFonts w:ascii="標楷體" w:hAnsi="標楷體"/>
          <w:color w:val="000000" w:themeColor="text1"/>
        </w:rPr>
      </w:pPr>
      <w:r w:rsidRPr="00F10C66">
        <w:rPr>
          <w:rFonts w:ascii="標楷體" w:eastAsia="MS Mincho" w:hAnsi="MS Mincho" w:cs="MS Mincho" w:hint="eastAsia"/>
          <w:color w:val="000000" w:themeColor="text1"/>
          <w:shd w:val="clear" w:color="auto" w:fill="FFFFFF"/>
        </w:rPr>
        <w:t>♎</w:t>
      </w:r>
      <w:r w:rsidRPr="00F10C66">
        <w:rPr>
          <w:rFonts w:ascii="標楷體" w:hAnsi="標楷體"/>
          <w:color w:val="000000" w:themeColor="text1"/>
        </w:rPr>
        <w:t>案例標題：</w:t>
      </w:r>
      <w:r w:rsidR="00AE687E" w:rsidRPr="00F10C66">
        <w:rPr>
          <w:rFonts w:ascii="標楷體" w:hAnsi="標楷體" w:hint="eastAsia"/>
          <w:bCs/>
          <w:color w:val="000000" w:themeColor="text1"/>
        </w:rPr>
        <w:t>評選委員為協助特定廠商取得標案，於評選過程中增加招標文件未有之評選項目並同意該廠商更改投標文件，經評委重新核分後，圖利特定廠商順利得標</w:t>
      </w:r>
    </w:p>
    <w:p w:rsidR="002D189F" w:rsidRPr="00F10C66" w:rsidRDefault="002D189F"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tblPr>
      <w:tblGrid>
        <w:gridCol w:w="817"/>
        <w:gridCol w:w="1559"/>
        <w:gridCol w:w="7088"/>
      </w:tblGrid>
      <w:tr w:rsidR="002D189F" w:rsidRPr="00F10C66" w:rsidTr="00FD1CA5">
        <w:tc>
          <w:tcPr>
            <w:tcW w:w="817"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F32C21" w:rsidRPr="00F10C66" w:rsidRDefault="001F5FBE"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評選委員為協助特定廠商取得標案，於評選過程中增加招標文件未有之評選項目並同意該廠商更改投標文件，經評委重新核分後，圖利特定廠商順利得標</w:t>
            </w:r>
            <w:r w:rsidR="006D5087" w:rsidRPr="00F10C66">
              <w:rPr>
                <w:rFonts w:ascii="標楷體" w:eastAsia="標楷體" w:hAnsi="標楷體" w:cs="Times New Roman" w:hint="eastAsia"/>
                <w:color w:val="000000" w:themeColor="text1"/>
                <w:sz w:val="32"/>
                <w:szCs w:val="32"/>
              </w:rPr>
              <w:t>(98年度矚上訴字第12號刑事判決)</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C47ADA" w:rsidRPr="00F10C66">
              <w:rPr>
                <w:rFonts w:ascii="標楷體" w:eastAsia="標楷體" w:hAnsi="標楷體" w:cs="Times New Roman" w:hint="eastAsia"/>
                <w:color w:val="000000" w:themeColor="text1"/>
                <w:sz w:val="32"/>
                <w:szCs w:val="32"/>
              </w:rPr>
              <w:t>摘要</w:t>
            </w:r>
          </w:p>
        </w:tc>
        <w:tc>
          <w:tcPr>
            <w:tcW w:w="7088" w:type="dxa"/>
          </w:tcPr>
          <w:p w:rsidR="00AE687E" w:rsidRPr="00F10C66" w:rsidRDefault="00AE687E" w:rsidP="00AE687E">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甲顧問公司為使乙電工公司順利得標，乃於評選作業前親至某市公所，向市長表明希望支持，市長乃指示承辦人A改以最有利標方式辦理決標，圈定副市長B為評選委員會召集人，工務課長C及D為內聘委員，並指示A、B、C協助乙電工公司取得標案。嗣評選當日，無視開標結果本應由丙公司得標之事實，B竟詢問乙電工公司代表E是否願意就投標權利金加價1百萬元。</w:t>
            </w:r>
          </w:p>
          <w:p w:rsidR="002D189F" w:rsidRPr="00F10C66" w:rsidRDefault="00AE687E" w:rsidP="00AE687E">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E乃將權利金提高至1,318萬元，並於每本營運計畫書末空白處以手寫加註「願以總價13,180,000元承攬」字樣，當場更改乙電工公司之投標文件，B、C、D等評選委員即重新填寫第2張評分表，以完成形式上之評選。因乙電工公司權利金增加1百萬元，致乙電工公司高於丙公司之總分，而取得標案。市長、A、B、C違反政府採購法第6條第1項之規定，無正當理由對乙電工公司為優惠待遇，共同圖利乙電工公司獲取不法利益。</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3</w:t>
            </w:r>
          </w:p>
        </w:tc>
        <w:tc>
          <w:tcPr>
            <w:tcW w:w="1559" w:type="dxa"/>
          </w:tcPr>
          <w:p w:rsidR="002D189F" w:rsidRPr="00F10C66" w:rsidRDefault="00C47ADA"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AE687E" w:rsidRPr="00F10C66" w:rsidRDefault="00C47ADA" w:rsidP="00AE687E">
            <w:pPr>
              <w:pStyle w:val="a7"/>
              <w:spacing w:line="500" w:lineRule="exact"/>
              <w:ind w:left="640" w:hanging="640"/>
              <w:rPr>
                <w:rFonts w:ascii="標楷體" w:hAnsi="標楷體"/>
                <w:color w:val="000000" w:themeColor="text1"/>
                <w:szCs w:val="32"/>
              </w:rPr>
            </w:pPr>
            <w:r w:rsidRPr="00F10C66">
              <w:rPr>
                <w:rFonts w:ascii="標楷體" w:hAnsi="標楷體" w:hint="eastAsia"/>
                <w:color w:val="000000" w:themeColor="text1"/>
                <w:szCs w:val="32"/>
              </w:rPr>
              <w:t>(一)</w:t>
            </w:r>
            <w:r w:rsidR="008C78E0" w:rsidRPr="00F10C66">
              <w:rPr>
                <w:rFonts w:ascii="標楷體" w:hAnsi="標楷體" w:hint="eastAsia"/>
                <w:color w:val="000000" w:themeColor="text1"/>
                <w:szCs w:val="32"/>
              </w:rPr>
              <w:t>內聘委員不一定具有採購案專業</w:t>
            </w:r>
            <w:r w:rsidR="00AE687E" w:rsidRPr="00F10C66">
              <w:rPr>
                <w:rFonts w:ascii="標楷體" w:hAnsi="標楷體" w:hint="eastAsia"/>
                <w:color w:val="000000" w:themeColor="text1"/>
                <w:szCs w:val="32"/>
              </w:rPr>
              <w:t>：</w:t>
            </w:r>
          </w:p>
          <w:p w:rsidR="00C47ADA" w:rsidRPr="00F10C66" w:rsidRDefault="000C3E7C" w:rsidP="00AE687E">
            <w:pPr>
              <w:pStyle w:val="a7"/>
              <w:spacing w:line="500" w:lineRule="exact"/>
              <w:ind w:left="640" w:firstLineChars="0" w:firstLine="0"/>
              <w:rPr>
                <w:rFonts w:ascii="標楷體" w:hAnsi="標楷體"/>
                <w:color w:val="000000" w:themeColor="text1"/>
                <w:szCs w:val="32"/>
              </w:rPr>
            </w:pPr>
            <w:r w:rsidRPr="00F10C66">
              <w:rPr>
                <w:rFonts w:ascii="標楷體" w:hAnsi="標楷體" w:hint="eastAsia"/>
                <w:color w:val="000000" w:themeColor="text1"/>
                <w:szCs w:val="32"/>
              </w:rPr>
              <w:t>內聘評選委員之組成，經常為機關首長指定副首長擔任評選會召集人、業務單位主管擔任內聘委員，對標案內容缺乏專門採購知識，僅憑自身日常生活經驗評斷評選項目內容之優劣，加上對評選程序一知半解，易被評選召集人牽著鼻子走，陷入違法風險而不自知。</w:t>
            </w:r>
          </w:p>
          <w:p w:rsidR="00C47ADA" w:rsidRPr="00F10C66" w:rsidRDefault="00C47ADA"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(二)部分主管為保住職位，全力配合長官指示</w:t>
            </w:r>
            <w:r w:rsidR="00445D80" w:rsidRPr="00F10C66">
              <w:rPr>
                <w:rFonts w:ascii="標楷體" w:hAnsi="標楷體" w:cs="細明體" w:hint="eastAsia"/>
                <w:color w:val="000000" w:themeColor="text1"/>
                <w:kern w:val="0"/>
                <w:szCs w:val="32"/>
              </w:rPr>
              <w:t>：</w:t>
            </w:r>
          </w:p>
          <w:p w:rsidR="002D189F" w:rsidRPr="00F10C66" w:rsidRDefault="000C3E7C" w:rsidP="00F26585">
            <w:pPr>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單位主管為首長之幕僚，處於上下輔佐關係，尤其地方機關為民選首長，課室主管仰賴有力人士推薦上位，有鑒於此提攜之恩，效盡犬馬之勞為理所當然，因而喪失是否違法之判斷能力，一味順應長官喜好，全力配合上級指示，致淪為首長圖利特定廠商之共犯。</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4</w:t>
            </w:r>
          </w:p>
        </w:tc>
        <w:tc>
          <w:tcPr>
            <w:tcW w:w="1559" w:type="dxa"/>
          </w:tcPr>
          <w:p w:rsidR="002D189F" w:rsidRPr="00F10C66" w:rsidRDefault="00C47ADA"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E20457" w:rsidRPr="00F10C66" w:rsidRDefault="00C47ADA" w:rsidP="00E20457">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w:t>
            </w:r>
            <w:r w:rsidR="00E20457" w:rsidRPr="00F10C66">
              <w:rPr>
                <w:rFonts w:ascii="標楷體" w:hAnsi="標楷體" w:hint="eastAsia"/>
                <w:color w:val="000000" w:themeColor="text1"/>
                <w:szCs w:val="32"/>
              </w:rPr>
              <w:t>於評選須知中要求內聘委員熟知評選倫理規範，並加強廉政法紀案例宣導：</w:t>
            </w:r>
          </w:p>
          <w:p w:rsidR="00C47ADA" w:rsidRPr="00F10C66" w:rsidRDefault="00E20457"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基於保護公務人員立場，機關應於評選前要求委員熟讀評選倫理規範，並加強辦理廉政法紀宣導，時時提醒公務員應有之廉潔操守，協助同仁熟識廉政法規，避免踩越違法界線，以維護公務安全。</w:t>
            </w:r>
          </w:p>
          <w:p w:rsidR="00C47ADA" w:rsidRPr="00F10C66" w:rsidRDefault="00C47ADA"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(二)提升採購人員及內聘委員採購評選專業度，辦理採購實務訓練</w:t>
            </w:r>
            <w:r w:rsidR="00445D80" w:rsidRPr="00F10C66">
              <w:rPr>
                <w:rFonts w:ascii="標楷體" w:hAnsi="標楷體" w:cs="細明體" w:hint="eastAsia"/>
                <w:color w:val="000000" w:themeColor="text1"/>
                <w:kern w:val="0"/>
                <w:szCs w:val="32"/>
              </w:rPr>
              <w:t>：</w:t>
            </w:r>
          </w:p>
          <w:p w:rsidR="00C47ADA" w:rsidRPr="00F10C66" w:rsidRDefault="00E20457"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許多編制較小的機關具有採購證照人數甚少，內聘委員又多為機關業務主管人員，如不熟悉採購程序，極易受命於長官違法要求</w:t>
            </w:r>
            <w:r w:rsidRPr="00F10C66">
              <w:rPr>
                <w:rFonts w:ascii="標楷體" w:hAnsi="標楷體" w:hint="eastAsia"/>
                <w:color w:val="000000" w:themeColor="text1"/>
                <w:szCs w:val="32"/>
              </w:rPr>
              <w:lastRenderedPageBreak/>
              <w:t>而不自知，甚而陷入圖利罪等貪瀆風險，故如有採購法及實務等相關訓練，應鼓勵主管及同仁積極參與，以充實採購知識，避免觸法。</w:t>
            </w:r>
          </w:p>
          <w:p w:rsidR="00C47ADA" w:rsidRPr="00F10C66" w:rsidRDefault="00C47ADA"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(三)辦理社會參與宣導，鼓勵吹哨者檢舉不法</w:t>
            </w:r>
            <w:r w:rsidR="00445D80" w:rsidRPr="00F10C66">
              <w:rPr>
                <w:rFonts w:ascii="標楷體" w:hAnsi="標楷體" w:cs="細明體" w:hint="eastAsia"/>
                <w:color w:val="000000" w:themeColor="text1"/>
                <w:kern w:val="0"/>
                <w:szCs w:val="32"/>
              </w:rPr>
              <w:t>：</w:t>
            </w:r>
          </w:p>
          <w:p w:rsidR="002D189F" w:rsidRPr="00F10C66" w:rsidRDefault="00E20457"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為防止請託、關說等情形發生，應利用各式對外活動場合向廠商、民眾、專家學者及志工宣導投訴檢舉管道，如政風單位電話、廉政署檢舉信箱、受理機關地址電話等資訊，以鼓勵檢舉貪瀆不法，防杜不法勾結圖利之情事。</w:t>
            </w:r>
          </w:p>
          <w:p w:rsidR="008C78E0" w:rsidRPr="00F10C66" w:rsidRDefault="008C78E0" w:rsidP="00F26585">
            <w:pPr>
              <w:pStyle w:val="a7"/>
              <w:spacing w:line="500" w:lineRule="exact"/>
              <w:ind w:left="640" w:hanging="640"/>
              <w:jc w:val="both"/>
              <w:rPr>
                <w:color w:val="000000" w:themeColor="text1"/>
              </w:rPr>
            </w:pPr>
            <w:r w:rsidRPr="00F10C66">
              <w:rPr>
                <w:rFonts w:ascii="標楷體" w:hAnsi="標楷體" w:hint="eastAsia"/>
                <w:color w:val="000000" w:themeColor="text1"/>
                <w:szCs w:val="32"/>
              </w:rPr>
              <w:t>(四)</w:t>
            </w:r>
            <w:r w:rsidRPr="00F10C66">
              <w:rPr>
                <w:rFonts w:hint="eastAsia"/>
                <w:color w:val="000000" w:themeColor="text1"/>
              </w:rPr>
              <w:t>提醒評選委員不要針對特定廠商做指責或稱讚：</w:t>
            </w:r>
          </w:p>
          <w:p w:rsidR="008C78E0" w:rsidRPr="00F10C66" w:rsidRDefault="008C78E0"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cs="標楷體" w:hint="eastAsia"/>
                <w:color w:val="000000" w:themeColor="text1"/>
                <w:szCs w:val="32"/>
              </w:rPr>
              <w:t>即使委員不是基於圖利或護航目的，可能只是個性如此，但可能會引起廠商誤會，認為委員在其他委員面前公然指責他，已經污染到其他委員的意見，要求評選會重開，亦增加機關不必要的困擾。</w:t>
            </w:r>
          </w:p>
        </w:tc>
      </w:tr>
      <w:tr w:rsidR="002D189F" w:rsidRPr="00F10C66" w:rsidTr="00FD1CA5">
        <w:tc>
          <w:tcPr>
            <w:tcW w:w="817" w:type="dxa"/>
          </w:tcPr>
          <w:p w:rsidR="002D189F"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7088" w:type="dxa"/>
          </w:tcPr>
          <w:p w:rsidR="002D189F" w:rsidRPr="00F10C66" w:rsidRDefault="0057054A" w:rsidP="00E20457">
            <w:pPr>
              <w:spacing w:line="500" w:lineRule="exact"/>
              <w:jc w:val="both"/>
              <w:rPr>
                <w:rFonts w:ascii="標楷體" w:eastAsia="標楷體" w:hAnsi="標楷體"/>
                <w:color w:val="000000" w:themeColor="text1"/>
                <w:sz w:val="32"/>
                <w:szCs w:val="32"/>
              </w:rPr>
            </w:pPr>
            <w:r w:rsidRPr="00F10C66">
              <w:rPr>
                <w:rFonts w:ascii="標楷體" w:eastAsia="標楷體" w:hAnsi="標楷體" w:hint="eastAsia"/>
                <w:color w:val="000000" w:themeColor="text1"/>
                <w:sz w:val="32"/>
                <w:szCs w:val="32"/>
              </w:rPr>
              <w:t>貪污治罪條例第6條第1項第4款：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p>
        </w:tc>
      </w:tr>
      <w:tr w:rsidR="00754807" w:rsidRPr="00F10C66" w:rsidTr="00FD1CA5">
        <w:tc>
          <w:tcPr>
            <w:tcW w:w="817" w:type="dxa"/>
          </w:tcPr>
          <w:p w:rsidR="00754807"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754807" w:rsidRPr="00F10C66" w:rsidRDefault="00754807" w:rsidP="00754807">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754807" w:rsidRPr="00F10C66" w:rsidRDefault="00754807" w:rsidP="00CC7D11">
            <w:pPr>
              <w:spacing w:line="500" w:lineRule="exact"/>
              <w:ind w:left="640" w:hangingChars="200" w:hanging="640"/>
              <w:jc w:val="both"/>
              <w:rPr>
                <w:rFonts w:ascii="標楷體" w:eastAsia="標楷體" w:hAnsi="標楷體"/>
                <w:color w:val="000000" w:themeColor="text1"/>
                <w:sz w:val="32"/>
                <w:szCs w:val="32"/>
              </w:rPr>
            </w:pPr>
            <w:r w:rsidRPr="00F10C66">
              <w:rPr>
                <w:rFonts w:ascii="標楷體" w:eastAsia="標楷體" w:hAnsi="標楷體" w:hint="eastAsia"/>
                <w:color w:val="000000" w:themeColor="text1"/>
                <w:sz w:val="32"/>
                <w:szCs w:val="32"/>
              </w:rPr>
              <w:t>政府採購法第6條、第56條、第87條。</w:t>
            </w:r>
          </w:p>
        </w:tc>
      </w:tr>
    </w:tbl>
    <w:p w:rsidR="00E20457" w:rsidRPr="00F10C66" w:rsidRDefault="00E2045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723B68" w:rsidRPr="00F10C66" w:rsidRDefault="00CC7D11"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t>肆</w:t>
      </w:r>
      <w:r w:rsidR="00723B68" w:rsidRPr="00F10C66">
        <w:rPr>
          <w:rFonts w:ascii="標楷體" w:eastAsia="標楷體" w:hAnsi="標楷體" w:cs="Times New Roman" w:hint="eastAsia"/>
          <w:b/>
          <w:color w:val="000000" w:themeColor="text1"/>
          <w:sz w:val="32"/>
          <w:szCs w:val="32"/>
        </w:rPr>
        <w:t>、第三人介入型</w:t>
      </w:r>
    </w:p>
    <w:p w:rsidR="00BC4CB5" w:rsidRPr="00F10C66" w:rsidRDefault="00BC4CB5"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w:t>
      </w:r>
      <w:r w:rsidR="00D375B2" w:rsidRPr="00F10C66">
        <w:rPr>
          <w:rFonts w:ascii="標楷體" w:eastAsia="標楷體" w:hAnsi="標楷體" w:cs="Times New Roman"/>
          <w:b/>
          <w:color w:val="000000" w:themeColor="text1"/>
          <w:sz w:val="32"/>
          <w:szCs w:val="32"/>
        </w:rPr>
        <w:t>10</w:t>
      </w:r>
      <w:r w:rsidR="00D375B2"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00D375B2" w:rsidRPr="00F10C66">
        <w:rPr>
          <w:rFonts w:ascii="標楷體" w:eastAsia="標楷體" w:hAnsi="標楷體" w:cs="Times New Roman"/>
          <w:b/>
          <w:color w:val="000000" w:themeColor="text1"/>
          <w:sz w:val="32"/>
          <w:szCs w:val="32"/>
        </w:rPr>
        <w:t>0</w:t>
      </w:r>
      <w:r w:rsidR="00D375B2" w:rsidRPr="00F10C66">
        <w:rPr>
          <w:rFonts w:ascii="標楷體" w:eastAsia="標楷體" w:hAnsi="標楷體" w:cs="Times New Roman" w:hint="eastAsia"/>
          <w:b/>
          <w:color w:val="000000" w:themeColor="text1"/>
          <w:sz w:val="32"/>
          <w:szCs w:val="32"/>
        </w:rPr>
        <w:t>4</w:t>
      </w:r>
    </w:p>
    <w:p w:rsidR="00BC4CB5" w:rsidRPr="00F10C66" w:rsidRDefault="00BC4CB5" w:rsidP="00CC7D11">
      <w:pPr>
        <w:spacing w:line="500" w:lineRule="exact"/>
        <w:ind w:left="1952" w:hangingChars="610" w:hanging="1952"/>
        <w:jc w:val="both"/>
        <w:rPr>
          <w:rFonts w:ascii="標楷體" w:eastAsia="標楷體" w:hAnsi="標楷體"/>
          <w:color w:val="000000" w:themeColor="text1"/>
          <w:sz w:val="32"/>
          <w:szCs w:val="32"/>
        </w:rPr>
      </w:pPr>
      <w:r w:rsidRPr="00F10C66">
        <w:rPr>
          <w:rFonts w:ascii="標楷體" w:eastAsia="MS Mincho" w:hAnsi="MS Mincho" w:cs="MS Mincho" w:hint="eastAsia"/>
          <w:color w:val="000000" w:themeColor="text1"/>
          <w:sz w:val="32"/>
          <w:szCs w:val="32"/>
          <w:shd w:val="clear" w:color="auto" w:fill="FFFFFF"/>
        </w:rPr>
        <w:t>♎</w:t>
      </w:r>
      <w:r w:rsidRPr="00F10C66">
        <w:rPr>
          <w:rFonts w:ascii="標楷體" w:eastAsia="標楷體" w:hAnsi="標楷體" w:cs="Times New Roman"/>
          <w:b/>
          <w:color w:val="000000" w:themeColor="text1"/>
          <w:sz w:val="32"/>
          <w:szCs w:val="32"/>
        </w:rPr>
        <w:t>案例標題：</w:t>
      </w:r>
      <w:r w:rsidR="00723B68" w:rsidRPr="00F10C66">
        <w:rPr>
          <w:rFonts w:ascii="標楷體" w:eastAsia="標楷體" w:hAnsi="標楷體" w:cs="Times New Roman" w:hint="eastAsia"/>
          <w:b/>
          <w:color w:val="000000" w:themeColor="text1"/>
          <w:sz w:val="32"/>
          <w:szCs w:val="32"/>
        </w:rPr>
        <w:t>內聘評選委員佔多數，主導標案決定權，廠商透過機關掮客行賄取得標案</w:t>
      </w:r>
    </w:p>
    <w:p w:rsidR="00BC4CB5" w:rsidRPr="00F10C66" w:rsidRDefault="00BC4CB5"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tblPr>
      <w:tblGrid>
        <w:gridCol w:w="817"/>
        <w:gridCol w:w="1559"/>
        <w:gridCol w:w="7088"/>
      </w:tblGrid>
      <w:tr w:rsidR="00BC4CB5" w:rsidRPr="00F10C66" w:rsidTr="00D909F4">
        <w:tc>
          <w:tcPr>
            <w:tcW w:w="817"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B62883" w:rsidRPr="00F10C66" w:rsidRDefault="00723B68"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內聘評選委員佔多數，主導標案決定權，廠商透過機關掮客行賄取得標案(臺灣高等法院104年度重上更(二)字第37號刑事判決)</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723B68" w:rsidRPr="00F10C66">
              <w:rPr>
                <w:rFonts w:ascii="標楷體" w:eastAsia="標楷體" w:hAnsi="標楷體" w:cs="Times New Roman" w:hint="eastAsia"/>
                <w:color w:val="000000" w:themeColor="text1"/>
                <w:sz w:val="32"/>
                <w:szCs w:val="32"/>
              </w:rPr>
              <w:t>摘要</w:t>
            </w:r>
          </w:p>
        </w:tc>
        <w:tc>
          <w:tcPr>
            <w:tcW w:w="7088" w:type="dxa"/>
          </w:tcPr>
          <w:p w:rsidR="00E20457" w:rsidRPr="00F10C66" w:rsidRDefault="00E20457" w:rsidP="00E20457">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A任職甲市長室專員，因該公所辦理「公園景觀及清潔維護」限制性招標案，經市長勾選A擔任內聘委員之一。乙公司負責人B與該公所駐衛警隊長C相當熟識，C無意間得知該標案訊息，聽聞內聘委員比外聘委員多之標案，多由市長及專員所掌握。</w:t>
            </w:r>
          </w:p>
          <w:p w:rsidR="00BC4CB5" w:rsidRPr="00F10C66" w:rsidRDefault="00F9216B" w:rsidP="00F9216B">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C遂擔任起掮客角色，向B表示這個標案只要能透過A向市長攀上關係，再由市長推薦給內聘委員，給付300萬就能得標。B表示願支付，C遂從中拉線，透過A取得市長同意，經由市長及A向內聘委員推薦B的公司，並由A在評選會中予以引導。嗣後，標案由B的公司得標，惟B得標後，僅願意支付100萬元支票，後續由C將100萬元支票兌換成現金轉交。</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3</w:t>
            </w:r>
          </w:p>
        </w:tc>
        <w:tc>
          <w:tcPr>
            <w:tcW w:w="1559" w:type="dxa"/>
          </w:tcPr>
          <w:p w:rsidR="00BC4CB5" w:rsidRPr="00F10C66" w:rsidRDefault="00723B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723B68" w:rsidRPr="00F10C66" w:rsidRDefault="00723B68"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(一)內聘評選委員比例高，易有球員兼裁判質疑</w:t>
            </w:r>
            <w:r w:rsidR="00445D80" w:rsidRPr="00F10C66">
              <w:rPr>
                <w:rFonts w:ascii="標楷體" w:hAnsi="標楷體" w:cs="細明體" w:hint="eastAsia"/>
                <w:color w:val="000000" w:themeColor="text1"/>
                <w:kern w:val="0"/>
                <w:szCs w:val="32"/>
              </w:rPr>
              <w:t>：</w:t>
            </w:r>
          </w:p>
          <w:p w:rsidR="00723B68" w:rsidRPr="00F10C66" w:rsidRDefault="000C3E7C"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部分地區採購環境封閉，參標廠商具地域性，易熟悉機關人員或正承攬機關其他標案，進而易於招標期間與內聘委員進行不當接觸。另採購評選需有外聘委員，其用意即</w:t>
            </w:r>
            <w:r w:rsidRPr="00F10C66">
              <w:rPr>
                <w:rFonts w:ascii="標楷體" w:hAnsi="標楷體" w:hint="eastAsia"/>
                <w:color w:val="000000" w:themeColor="text1"/>
                <w:szCs w:val="32"/>
              </w:rPr>
              <w:lastRenderedPageBreak/>
              <w:t>在於促使評選作業更趨公允客觀，倘機關均指定固定人士擔任內聘委員，且內聘委員又為多數，評選會容易喪失公正性與客觀性。</w:t>
            </w:r>
          </w:p>
          <w:p w:rsidR="00723B68" w:rsidRPr="00F10C66" w:rsidRDefault="00723B68"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(二)機關特定人士實質影響力大，廠商行賄成本低</w:t>
            </w:r>
            <w:r w:rsidR="00445D80" w:rsidRPr="00F10C66">
              <w:rPr>
                <w:rFonts w:ascii="標楷體" w:hAnsi="標楷體" w:cs="細明體" w:hint="eastAsia"/>
                <w:color w:val="000000" w:themeColor="text1"/>
                <w:kern w:val="0"/>
                <w:szCs w:val="32"/>
              </w:rPr>
              <w:t>：</w:t>
            </w:r>
          </w:p>
          <w:p w:rsidR="00BC4CB5" w:rsidRPr="00F10C66" w:rsidRDefault="000C3E7C" w:rsidP="00F26585">
            <w:pPr>
              <w:spacing w:line="500" w:lineRule="exact"/>
              <w:ind w:leftChars="280" w:left="672"/>
              <w:jc w:val="both"/>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機關內聘委員往往須服從首長或受其影響，如採購過程均由機關首長決定，未有授權或其他機制，在程序上首長實質影響力過大(勾選評委、監督審核權限、底價決定等)，極易因機關首長風紀操守、干涉或引導內聘委員等，而影響採購公正性。另因廠商針對特定關鍵人士行賄即可取得標案，相較於須行賄數個外聘委員，廠商行賄成本大幅降低，易產生弊端。</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4</w:t>
            </w:r>
          </w:p>
        </w:tc>
        <w:tc>
          <w:tcPr>
            <w:tcW w:w="1559" w:type="dxa"/>
          </w:tcPr>
          <w:p w:rsidR="00BC4CB5" w:rsidRPr="00F10C66" w:rsidRDefault="00723B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EC0876" w:rsidRPr="00F10C66" w:rsidRDefault="00723B68" w:rsidP="00444F51">
            <w:pPr>
              <w:pStyle w:val="a7"/>
              <w:spacing w:line="48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w:t>
            </w:r>
            <w:r w:rsidR="00EC0876" w:rsidRPr="00F10C66">
              <w:rPr>
                <w:rFonts w:ascii="標楷體" w:hAnsi="標楷體" w:hint="eastAsia"/>
                <w:color w:val="000000" w:themeColor="text1"/>
                <w:szCs w:val="32"/>
              </w:rPr>
              <w:t>內聘及外聘評選委員比例應妥善分配：</w:t>
            </w:r>
          </w:p>
          <w:p w:rsidR="00EC0876" w:rsidRPr="00F10C66" w:rsidRDefault="00EC0876"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1.避免遴薦固定內聘委員或以內聘委員佔多數來組成採購評選委員會，以降低球員兼裁判之不當觀感。</w:t>
            </w:r>
          </w:p>
          <w:p w:rsidR="00754807" w:rsidRPr="00F10C66" w:rsidRDefault="00EC0876"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2.依據政府採購法第94條第1項、第2項：「機關辦理評選，應成立五人以上之評選委員會，專家學者人數不得少於三分之一，其名單由主管機關會同教育部、考選部及其他相關機關建議之。前項所稱專家學者，不得為政府機關之現職人員」。故針對不同的採購案件性質遴聘適當專業人員擔任，獲取機關最大利益。</w:t>
            </w:r>
          </w:p>
          <w:p w:rsidR="00EC0876" w:rsidRPr="00F10C66" w:rsidRDefault="00723B68" w:rsidP="00444F51">
            <w:pPr>
              <w:pStyle w:val="a7"/>
              <w:spacing w:line="48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w:t>
            </w:r>
            <w:r w:rsidR="00EC0876" w:rsidRPr="00F10C66">
              <w:rPr>
                <w:rFonts w:ascii="標楷體" w:hAnsi="標楷體" w:hint="eastAsia"/>
                <w:color w:val="000000" w:themeColor="text1"/>
                <w:szCs w:val="32"/>
              </w:rPr>
              <w:t>強化工作小組功能：</w:t>
            </w:r>
          </w:p>
          <w:p w:rsidR="00723B68" w:rsidRPr="00F10C66" w:rsidRDefault="00EC0876" w:rsidP="00F26585">
            <w:pPr>
              <w:pStyle w:val="a7"/>
              <w:spacing w:line="48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工作小組就受評廠商評選資料，得利用客觀取得之資訊予以檢視，例如廠商過去履約情</w:t>
            </w:r>
            <w:r w:rsidRPr="00F10C66">
              <w:rPr>
                <w:rFonts w:ascii="標楷體" w:hAnsi="標楷體" w:hint="eastAsia"/>
                <w:color w:val="000000" w:themeColor="text1"/>
                <w:szCs w:val="32"/>
              </w:rPr>
              <w:lastRenderedPageBreak/>
              <w:t>形、施工查核成績、有無工程逾期、終止契約或解除契約等情形，依據評選項目內容擬具初審意見，連同廠商資料送評選委員會供評選參考，以補充內聘委員對於採購程序及專業知識不足部分，避免於評選程序中被有心人士牽著鼻子走或評分不公正之情形發生。</w:t>
            </w:r>
          </w:p>
          <w:p w:rsidR="00723B68" w:rsidRPr="00F10C66" w:rsidRDefault="00723B68" w:rsidP="00444F51">
            <w:pPr>
              <w:pStyle w:val="a7"/>
              <w:spacing w:line="480" w:lineRule="exact"/>
              <w:ind w:left="640" w:hanging="640"/>
              <w:jc w:val="both"/>
              <w:rPr>
                <w:rFonts w:ascii="標楷體" w:hAnsi="標楷體" w:cs="細明體"/>
                <w:color w:val="000000" w:themeColor="text1"/>
                <w:kern w:val="0"/>
                <w:szCs w:val="32"/>
              </w:rPr>
            </w:pPr>
            <w:r w:rsidRPr="00F10C66">
              <w:rPr>
                <w:rFonts w:ascii="標楷體" w:hAnsi="標楷體" w:hint="eastAsia"/>
                <w:color w:val="000000" w:themeColor="text1"/>
                <w:szCs w:val="32"/>
              </w:rPr>
              <w:t>(三)</w:t>
            </w:r>
            <w:r w:rsidR="0075706E" w:rsidRPr="00F10C66">
              <w:rPr>
                <w:rFonts w:ascii="標楷體" w:hAnsi="標楷體" w:hint="eastAsia"/>
                <w:color w:val="000000" w:themeColor="text1"/>
                <w:szCs w:val="32"/>
              </w:rPr>
              <w:t>加重廠商行賄行為之處罰，落實不良廠商懲惡機制</w:t>
            </w:r>
            <w:r w:rsidR="00445D80" w:rsidRPr="00F10C66">
              <w:rPr>
                <w:rFonts w:ascii="標楷體" w:hAnsi="標楷體" w:cs="細明體" w:hint="eastAsia"/>
                <w:color w:val="000000" w:themeColor="text1"/>
                <w:kern w:val="0"/>
                <w:szCs w:val="32"/>
              </w:rPr>
              <w:t>：</w:t>
            </w:r>
          </w:p>
          <w:p w:rsidR="00710AB3" w:rsidRPr="00F10C66" w:rsidRDefault="00710AB3" w:rsidP="00F26585">
            <w:pPr>
              <w:pStyle w:val="a7"/>
              <w:spacing w:line="480" w:lineRule="exact"/>
              <w:ind w:leftChars="100" w:left="560" w:hangingChars="100" w:hanging="320"/>
              <w:jc w:val="both"/>
              <w:rPr>
                <w:rFonts w:ascii="標楷體" w:hAnsi="標楷體" w:cs="標楷體"/>
                <w:color w:val="000000" w:themeColor="text1"/>
                <w:szCs w:val="32"/>
              </w:rPr>
            </w:pPr>
            <w:r w:rsidRPr="00F10C66">
              <w:rPr>
                <w:rFonts w:ascii="標楷體" w:hAnsi="標楷體" w:cs="細明體" w:hint="eastAsia"/>
                <w:color w:val="000000" w:themeColor="text1"/>
                <w:kern w:val="0"/>
                <w:szCs w:val="32"/>
              </w:rPr>
              <w:t>1.</w:t>
            </w:r>
            <w:r w:rsidRPr="00F10C66">
              <w:rPr>
                <w:rFonts w:ascii="標楷體" w:hAnsi="標楷體" w:cs="標楷體" w:hint="eastAsia"/>
                <w:color w:val="000000" w:themeColor="text1"/>
                <w:szCs w:val="32"/>
              </w:rPr>
              <w:t>刑事責任：如果有行賄行為時，因為已涉及犯罪，依刑事訴訟法第241條應移送檢調偵查。</w:t>
            </w:r>
          </w:p>
          <w:p w:rsidR="00723B68" w:rsidRPr="00F10C66" w:rsidRDefault="00710AB3"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cs="標楷體" w:hint="eastAsia"/>
                <w:color w:val="000000" w:themeColor="text1"/>
                <w:szCs w:val="32"/>
              </w:rPr>
              <w:t>2.行政責任：</w:t>
            </w:r>
            <w:r w:rsidR="00EC0876" w:rsidRPr="00F10C66">
              <w:rPr>
                <w:rFonts w:ascii="標楷體" w:hAnsi="標楷體" w:hint="eastAsia"/>
                <w:color w:val="000000" w:themeColor="text1"/>
                <w:szCs w:val="32"/>
              </w:rPr>
              <w:t>108年5月22日修正政府採購法第31條及第101條規定，對於行賄行為明列為不發還或追繳押標金之情形，並列入不良廠商，停權3年；另政府採購法第59條規定支付前金後謝促成採購契約之成立，加重契約罰款為行賄金額的2</w:t>
            </w:r>
            <w:r w:rsidRPr="00F10C66">
              <w:rPr>
                <w:rFonts w:ascii="標楷體" w:hAnsi="標楷體" w:hint="eastAsia"/>
                <w:color w:val="000000" w:themeColor="text1"/>
                <w:szCs w:val="32"/>
              </w:rPr>
              <w:t>倍；</w:t>
            </w:r>
            <w:r w:rsidRPr="00F10C66">
              <w:rPr>
                <w:rFonts w:ascii="標楷體" w:hAnsi="標楷體" w:cs="標楷體" w:hint="eastAsia"/>
                <w:color w:val="000000" w:themeColor="text1"/>
                <w:szCs w:val="32"/>
              </w:rPr>
              <w:t>第50條第1項第7款，影響採購公正的違反法令行為，要撤銷決標或是解除契約，甚至請求損害賠償。</w:t>
            </w:r>
          </w:p>
          <w:p w:rsidR="00710AB3" w:rsidRPr="00F10C66" w:rsidRDefault="00710AB3"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cs="標楷體" w:hint="eastAsia"/>
                <w:color w:val="000000" w:themeColor="text1"/>
                <w:szCs w:val="32"/>
              </w:rPr>
              <w:t>3.民事責任：押標金保證金暨其他擔保作業辦法規定，要沒收或追繳押標金，或是沒收履約保證金，若依據工程會的採購契約範本，這也可能會充作懲罰性違約金。</w:t>
            </w:r>
          </w:p>
          <w:p w:rsidR="00723B68" w:rsidRPr="00F10C66" w:rsidRDefault="00723B68" w:rsidP="00444F51">
            <w:pPr>
              <w:pStyle w:val="a7"/>
              <w:spacing w:line="48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(四)勇敢吹哨</w:t>
            </w:r>
            <w:r w:rsidR="00445D80" w:rsidRPr="00F10C66">
              <w:rPr>
                <w:rFonts w:ascii="標楷體" w:hAnsi="標楷體" w:cs="細明體" w:hint="eastAsia"/>
                <w:color w:val="000000" w:themeColor="text1"/>
                <w:kern w:val="0"/>
                <w:szCs w:val="32"/>
              </w:rPr>
              <w:t>：</w:t>
            </w:r>
          </w:p>
          <w:p w:rsidR="00BC4CB5" w:rsidRPr="00F10C66" w:rsidRDefault="00EC0876" w:rsidP="00F26585">
            <w:pPr>
              <w:pStyle w:val="a7"/>
              <w:spacing w:line="48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未來配合揭弊者保護法立法通過，機關內部人員，如發現標案有外力不當介入之弊端情事，勇於提出檢舉，更能有效保障揭弊者的工作權益。</w:t>
            </w:r>
          </w:p>
        </w:tc>
      </w:tr>
      <w:tr w:rsidR="00BC4CB5" w:rsidRPr="00F10C66" w:rsidTr="00D909F4">
        <w:tc>
          <w:tcPr>
            <w:tcW w:w="817" w:type="dxa"/>
          </w:tcPr>
          <w:p w:rsidR="00BC4CB5"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BC4CB5" w:rsidRPr="00F10C66" w:rsidRDefault="00723B68" w:rsidP="00DD73B6">
            <w:pPr>
              <w:spacing w:line="44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參考法令</w:t>
            </w:r>
          </w:p>
        </w:tc>
        <w:tc>
          <w:tcPr>
            <w:tcW w:w="7088" w:type="dxa"/>
          </w:tcPr>
          <w:p w:rsidR="00BC4CB5" w:rsidRPr="00F10C66" w:rsidRDefault="00723B68" w:rsidP="00DD73B6">
            <w:pPr>
              <w:pStyle w:val="a7"/>
              <w:spacing w:line="44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貪污治罪條例第5條第1項第3款：對於職務上</w:t>
            </w:r>
            <w:r w:rsidRPr="00F10C66">
              <w:rPr>
                <w:rFonts w:ascii="標楷體" w:hAnsi="標楷體" w:hint="eastAsia"/>
                <w:color w:val="000000" w:themeColor="text1"/>
                <w:szCs w:val="32"/>
              </w:rPr>
              <w:lastRenderedPageBreak/>
              <w:t>之行為，要求、期約或收受賄賂或其他不正利益者。</w:t>
            </w:r>
          </w:p>
        </w:tc>
      </w:tr>
      <w:tr w:rsidR="00911D6D" w:rsidRPr="00F10C66" w:rsidTr="00DD73B6">
        <w:trPr>
          <w:trHeight w:val="768"/>
        </w:trPr>
        <w:tc>
          <w:tcPr>
            <w:tcW w:w="817" w:type="dxa"/>
          </w:tcPr>
          <w:p w:rsidR="00911D6D" w:rsidRPr="00F10C66" w:rsidRDefault="00F26585" w:rsidP="003948D4">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6</w:t>
            </w:r>
          </w:p>
        </w:tc>
        <w:tc>
          <w:tcPr>
            <w:tcW w:w="1559" w:type="dxa"/>
          </w:tcPr>
          <w:p w:rsidR="00911D6D" w:rsidRPr="00F10C66" w:rsidRDefault="00911D6D" w:rsidP="00DD73B6">
            <w:pPr>
              <w:spacing w:line="44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9A7A55" w:rsidRPr="00F10C66" w:rsidRDefault="009A7A55" w:rsidP="00DD73B6">
            <w:pPr>
              <w:pStyle w:val="a7"/>
              <w:spacing w:line="44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政府採購法第101條</w:t>
            </w:r>
            <w:r w:rsidR="00444F51" w:rsidRPr="00F10C66">
              <w:rPr>
                <w:rFonts w:ascii="標楷體" w:hAnsi="標楷體" w:hint="eastAsia"/>
                <w:color w:val="000000" w:themeColor="text1"/>
                <w:szCs w:val="32"/>
              </w:rPr>
              <w:t>、</w:t>
            </w:r>
            <w:r w:rsidRPr="00F10C66">
              <w:rPr>
                <w:rFonts w:ascii="標楷體" w:hAnsi="標楷體" w:hint="eastAsia"/>
                <w:color w:val="000000" w:themeColor="text1"/>
                <w:szCs w:val="32"/>
              </w:rPr>
              <w:t>政府採購法第94條</w:t>
            </w:r>
            <w:r w:rsidR="00444F51" w:rsidRPr="00F10C66">
              <w:rPr>
                <w:rFonts w:ascii="標楷體" w:hAnsi="標楷體" w:hint="eastAsia"/>
                <w:color w:val="000000" w:themeColor="text1"/>
                <w:szCs w:val="32"/>
              </w:rPr>
              <w:t>、</w:t>
            </w:r>
            <w:r w:rsidRPr="00F10C66">
              <w:rPr>
                <w:rFonts w:ascii="標楷體" w:hAnsi="標楷體" w:hint="eastAsia"/>
                <w:color w:val="000000" w:themeColor="text1"/>
                <w:szCs w:val="32"/>
              </w:rPr>
              <w:t>政府採購法第59條</w:t>
            </w:r>
          </w:p>
        </w:tc>
      </w:tr>
    </w:tbl>
    <w:p w:rsidR="00DB69DF" w:rsidRPr="00F10C66" w:rsidRDefault="00DB69DF" w:rsidP="00DD73B6">
      <w:pPr>
        <w:pStyle w:val="aa"/>
        <w:spacing w:line="500" w:lineRule="exact"/>
        <w:jc w:val="both"/>
        <w:rPr>
          <w:rFonts w:ascii="標楷體" w:hAnsi="標楷體"/>
          <w:color w:val="000000" w:themeColor="text1"/>
        </w:rPr>
      </w:pPr>
    </w:p>
    <w:sectPr w:rsidR="00DB69DF" w:rsidRPr="00F10C66" w:rsidSect="00FD1CA5">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43" w:rsidRDefault="00976D43" w:rsidP="007E0A7C">
      <w:r>
        <w:separator/>
      </w:r>
    </w:p>
  </w:endnote>
  <w:endnote w:type="continuationSeparator" w:id="1">
    <w:p w:rsidR="00976D43" w:rsidRDefault="00976D43" w:rsidP="007E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28166"/>
      <w:docPartObj>
        <w:docPartGallery w:val="Page Numbers (Bottom of Page)"/>
        <w:docPartUnique/>
      </w:docPartObj>
    </w:sdtPr>
    <w:sdtContent>
      <w:p w:rsidR="0011129E" w:rsidRDefault="00337AD6">
        <w:pPr>
          <w:pStyle w:val="ab"/>
          <w:jc w:val="center"/>
        </w:pPr>
        <w:r>
          <w:fldChar w:fldCharType="begin"/>
        </w:r>
        <w:r w:rsidR="0011129E">
          <w:instrText>PAGE   \* MERGEFORMAT</w:instrText>
        </w:r>
        <w:r>
          <w:fldChar w:fldCharType="separate"/>
        </w:r>
        <w:r w:rsidR="007C41D2" w:rsidRPr="007C41D2">
          <w:rPr>
            <w:noProof/>
            <w:lang w:val="zh-TW"/>
          </w:rPr>
          <w:t>1</w:t>
        </w:r>
        <w:r>
          <w:fldChar w:fldCharType="end"/>
        </w:r>
      </w:p>
    </w:sdtContent>
  </w:sdt>
  <w:p w:rsidR="0011129E" w:rsidRDefault="001112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43" w:rsidRDefault="00976D43" w:rsidP="007E0A7C">
      <w:r>
        <w:separator/>
      </w:r>
    </w:p>
  </w:footnote>
  <w:footnote w:type="continuationSeparator" w:id="1">
    <w:p w:rsidR="00976D43" w:rsidRDefault="00976D43" w:rsidP="007E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5pt;height:10.85pt" o:bullet="t">
        <v:imagedata r:id="rId1" o:title="msoACEE"/>
      </v:shape>
    </w:pict>
  </w:numPicBullet>
  <w:abstractNum w:abstractNumId="0">
    <w:nsid w:val="032D7C6C"/>
    <w:multiLevelType w:val="hybridMultilevel"/>
    <w:tmpl w:val="E22EC190"/>
    <w:lvl w:ilvl="0" w:tplc="FB7C8558">
      <w:start w:val="2"/>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31BC1"/>
    <w:multiLevelType w:val="hybridMultilevel"/>
    <w:tmpl w:val="C64264AA"/>
    <w:lvl w:ilvl="0" w:tplc="694AA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933F0"/>
    <w:multiLevelType w:val="hybridMultilevel"/>
    <w:tmpl w:val="350C8C2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715BF4"/>
    <w:multiLevelType w:val="hybridMultilevel"/>
    <w:tmpl w:val="CAC21B36"/>
    <w:lvl w:ilvl="0" w:tplc="9280B008">
      <w:start w:val="1"/>
      <w:numFmt w:val="decimal"/>
      <w:lvlText w:val="%1."/>
      <w:lvlJc w:val="left"/>
      <w:pPr>
        <w:ind w:left="720" w:hanging="360"/>
      </w:pPr>
      <w:rPr>
        <w:rFonts w:asci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6C7EC5"/>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9767FE"/>
    <w:multiLevelType w:val="hybridMultilevel"/>
    <w:tmpl w:val="AC5A94D2"/>
    <w:lvl w:ilvl="0" w:tplc="BB22B68C">
      <w:start w:val="1"/>
      <w:numFmt w:val="bullet"/>
      <w:lvlText w:val="–"/>
      <w:lvlJc w:val="left"/>
      <w:pPr>
        <w:tabs>
          <w:tab w:val="num" w:pos="720"/>
        </w:tabs>
        <w:ind w:left="720" w:hanging="360"/>
      </w:pPr>
      <w:rPr>
        <w:rFonts w:ascii="新細明體" w:hAnsi="新細明體" w:hint="default"/>
      </w:rPr>
    </w:lvl>
    <w:lvl w:ilvl="1" w:tplc="CD42DD6E">
      <w:start w:val="1"/>
      <w:numFmt w:val="bullet"/>
      <w:lvlText w:val="–"/>
      <w:lvlJc w:val="left"/>
      <w:pPr>
        <w:tabs>
          <w:tab w:val="num" w:pos="1440"/>
        </w:tabs>
        <w:ind w:left="1440" w:hanging="360"/>
      </w:pPr>
      <w:rPr>
        <w:rFonts w:ascii="新細明體" w:hAnsi="新細明體" w:hint="default"/>
      </w:rPr>
    </w:lvl>
    <w:lvl w:ilvl="2" w:tplc="814E1D3C" w:tentative="1">
      <w:start w:val="1"/>
      <w:numFmt w:val="bullet"/>
      <w:lvlText w:val="–"/>
      <w:lvlJc w:val="left"/>
      <w:pPr>
        <w:tabs>
          <w:tab w:val="num" w:pos="2160"/>
        </w:tabs>
        <w:ind w:left="2160" w:hanging="360"/>
      </w:pPr>
      <w:rPr>
        <w:rFonts w:ascii="新細明體" w:hAnsi="新細明體" w:hint="default"/>
      </w:rPr>
    </w:lvl>
    <w:lvl w:ilvl="3" w:tplc="FB766986" w:tentative="1">
      <w:start w:val="1"/>
      <w:numFmt w:val="bullet"/>
      <w:lvlText w:val="–"/>
      <w:lvlJc w:val="left"/>
      <w:pPr>
        <w:tabs>
          <w:tab w:val="num" w:pos="2880"/>
        </w:tabs>
        <w:ind w:left="2880" w:hanging="360"/>
      </w:pPr>
      <w:rPr>
        <w:rFonts w:ascii="新細明體" w:hAnsi="新細明體" w:hint="default"/>
      </w:rPr>
    </w:lvl>
    <w:lvl w:ilvl="4" w:tplc="BFC479E2" w:tentative="1">
      <w:start w:val="1"/>
      <w:numFmt w:val="bullet"/>
      <w:lvlText w:val="–"/>
      <w:lvlJc w:val="left"/>
      <w:pPr>
        <w:tabs>
          <w:tab w:val="num" w:pos="3600"/>
        </w:tabs>
        <w:ind w:left="3600" w:hanging="360"/>
      </w:pPr>
      <w:rPr>
        <w:rFonts w:ascii="新細明體" w:hAnsi="新細明體" w:hint="default"/>
      </w:rPr>
    </w:lvl>
    <w:lvl w:ilvl="5" w:tplc="3F82B39E" w:tentative="1">
      <w:start w:val="1"/>
      <w:numFmt w:val="bullet"/>
      <w:lvlText w:val="–"/>
      <w:lvlJc w:val="left"/>
      <w:pPr>
        <w:tabs>
          <w:tab w:val="num" w:pos="4320"/>
        </w:tabs>
        <w:ind w:left="4320" w:hanging="360"/>
      </w:pPr>
      <w:rPr>
        <w:rFonts w:ascii="新細明體" w:hAnsi="新細明體" w:hint="default"/>
      </w:rPr>
    </w:lvl>
    <w:lvl w:ilvl="6" w:tplc="38684094" w:tentative="1">
      <w:start w:val="1"/>
      <w:numFmt w:val="bullet"/>
      <w:lvlText w:val="–"/>
      <w:lvlJc w:val="left"/>
      <w:pPr>
        <w:tabs>
          <w:tab w:val="num" w:pos="5040"/>
        </w:tabs>
        <w:ind w:left="5040" w:hanging="360"/>
      </w:pPr>
      <w:rPr>
        <w:rFonts w:ascii="新細明體" w:hAnsi="新細明體" w:hint="default"/>
      </w:rPr>
    </w:lvl>
    <w:lvl w:ilvl="7" w:tplc="D148312E" w:tentative="1">
      <w:start w:val="1"/>
      <w:numFmt w:val="bullet"/>
      <w:lvlText w:val="–"/>
      <w:lvlJc w:val="left"/>
      <w:pPr>
        <w:tabs>
          <w:tab w:val="num" w:pos="5760"/>
        </w:tabs>
        <w:ind w:left="5760" w:hanging="360"/>
      </w:pPr>
      <w:rPr>
        <w:rFonts w:ascii="新細明體" w:hAnsi="新細明體" w:hint="default"/>
      </w:rPr>
    </w:lvl>
    <w:lvl w:ilvl="8" w:tplc="2ADE03CC" w:tentative="1">
      <w:start w:val="1"/>
      <w:numFmt w:val="bullet"/>
      <w:lvlText w:val="–"/>
      <w:lvlJc w:val="left"/>
      <w:pPr>
        <w:tabs>
          <w:tab w:val="num" w:pos="6480"/>
        </w:tabs>
        <w:ind w:left="6480" w:hanging="360"/>
      </w:pPr>
      <w:rPr>
        <w:rFonts w:ascii="新細明體" w:hAnsi="新細明體" w:hint="default"/>
      </w:rPr>
    </w:lvl>
  </w:abstractNum>
  <w:abstractNum w:abstractNumId="6">
    <w:nsid w:val="13054C3A"/>
    <w:multiLevelType w:val="hybridMultilevel"/>
    <w:tmpl w:val="41E8B190"/>
    <w:lvl w:ilvl="0" w:tplc="8D488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BC29B2"/>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0023A9"/>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1E2A87"/>
    <w:multiLevelType w:val="hybridMultilevel"/>
    <w:tmpl w:val="4DE229DE"/>
    <w:lvl w:ilvl="0" w:tplc="A96069BE">
      <w:start w:val="1"/>
      <w:numFmt w:val="bullet"/>
      <w:lvlText w:val="–"/>
      <w:lvlJc w:val="left"/>
      <w:pPr>
        <w:tabs>
          <w:tab w:val="num" w:pos="720"/>
        </w:tabs>
        <w:ind w:left="720" w:hanging="360"/>
      </w:pPr>
      <w:rPr>
        <w:rFonts w:ascii="新細明體" w:hAnsi="新細明體" w:hint="default"/>
      </w:rPr>
    </w:lvl>
    <w:lvl w:ilvl="1" w:tplc="06A8DBAC">
      <w:start w:val="1"/>
      <w:numFmt w:val="bullet"/>
      <w:lvlText w:val="–"/>
      <w:lvlJc w:val="left"/>
      <w:pPr>
        <w:tabs>
          <w:tab w:val="num" w:pos="1440"/>
        </w:tabs>
        <w:ind w:left="1440" w:hanging="360"/>
      </w:pPr>
      <w:rPr>
        <w:rFonts w:ascii="新細明體" w:hAnsi="新細明體" w:hint="default"/>
      </w:rPr>
    </w:lvl>
    <w:lvl w:ilvl="2" w:tplc="E7820B76" w:tentative="1">
      <w:start w:val="1"/>
      <w:numFmt w:val="bullet"/>
      <w:lvlText w:val="–"/>
      <w:lvlJc w:val="left"/>
      <w:pPr>
        <w:tabs>
          <w:tab w:val="num" w:pos="2160"/>
        </w:tabs>
        <w:ind w:left="2160" w:hanging="360"/>
      </w:pPr>
      <w:rPr>
        <w:rFonts w:ascii="新細明體" w:hAnsi="新細明體" w:hint="default"/>
      </w:rPr>
    </w:lvl>
    <w:lvl w:ilvl="3" w:tplc="2862AA5C" w:tentative="1">
      <w:start w:val="1"/>
      <w:numFmt w:val="bullet"/>
      <w:lvlText w:val="–"/>
      <w:lvlJc w:val="left"/>
      <w:pPr>
        <w:tabs>
          <w:tab w:val="num" w:pos="2880"/>
        </w:tabs>
        <w:ind w:left="2880" w:hanging="360"/>
      </w:pPr>
      <w:rPr>
        <w:rFonts w:ascii="新細明體" w:hAnsi="新細明體" w:hint="default"/>
      </w:rPr>
    </w:lvl>
    <w:lvl w:ilvl="4" w:tplc="1E24CFF0" w:tentative="1">
      <w:start w:val="1"/>
      <w:numFmt w:val="bullet"/>
      <w:lvlText w:val="–"/>
      <w:lvlJc w:val="left"/>
      <w:pPr>
        <w:tabs>
          <w:tab w:val="num" w:pos="3600"/>
        </w:tabs>
        <w:ind w:left="3600" w:hanging="360"/>
      </w:pPr>
      <w:rPr>
        <w:rFonts w:ascii="新細明體" w:hAnsi="新細明體" w:hint="default"/>
      </w:rPr>
    </w:lvl>
    <w:lvl w:ilvl="5" w:tplc="CCF69200" w:tentative="1">
      <w:start w:val="1"/>
      <w:numFmt w:val="bullet"/>
      <w:lvlText w:val="–"/>
      <w:lvlJc w:val="left"/>
      <w:pPr>
        <w:tabs>
          <w:tab w:val="num" w:pos="4320"/>
        </w:tabs>
        <w:ind w:left="4320" w:hanging="360"/>
      </w:pPr>
      <w:rPr>
        <w:rFonts w:ascii="新細明體" w:hAnsi="新細明體" w:hint="default"/>
      </w:rPr>
    </w:lvl>
    <w:lvl w:ilvl="6" w:tplc="7D9647C2" w:tentative="1">
      <w:start w:val="1"/>
      <w:numFmt w:val="bullet"/>
      <w:lvlText w:val="–"/>
      <w:lvlJc w:val="left"/>
      <w:pPr>
        <w:tabs>
          <w:tab w:val="num" w:pos="5040"/>
        </w:tabs>
        <w:ind w:left="5040" w:hanging="360"/>
      </w:pPr>
      <w:rPr>
        <w:rFonts w:ascii="新細明體" w:hAnsi="新細明體" w:hint="default"/>
      </w:rPr>
    </w:lvl>
    <w:lvl w:ilvl="7" w:tplc="4C70D858" w:tentative="1">
      <w:start w:val="1"/>
      <w:numFmt w:val="bullet"/>
      <w:lvlText w:val="–"/>
      <w:lvlJc w:val="left"/>
      <w:pPr>
        <w:tabs>
          <w:tab w:val="num" w:pos="5760"/>
        </w:tabs>
        <w:ind w:left="5760" w:hanging="360"/>
      </w:pPr>
      <w:rPr>
        <w:rFonts w:ascii="新細明體" w:hAnsi="新細明體" w:hint="default"/>
      </w:rPr>
    </w:lvl>
    <w:lvl w:ilvl="8" w:tplc="25BC20C6" w:tentative="1">
      <w:start w:val="1"/>
      <w:numFmt w:val="bullet"/>
      <w:lvlText w:val="–"/>
      <w:lvlJc w:val="left"/>
      <w:pPr>
        <w:tabs>
          <w:tab w:val="num" w:pos="6480"/>
        </w:tabs>
        <w:ind w:left="6480" w:hanging="360"/>
      </w:pPr>
      <w:rPr>
        <w:rFonts w:ascii="新細明體" w:hAnsi="新細明體" w:hint="default"/>
      </w:rPr>
    </w:lvl>
  </w:abstractNum>
  <w:abstractNum w:abstractNumId="11">
    <w:nsid w:val="25392D73"/>
    <w:multiLevelType w:val="hybridMultilevel"/>
    <w:tmpl w:val="A1F82ED8"/>
    <w:lvl w:ilvl="0" w:tplc="37FAF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545DBA"/>
    <w:multiLevelType w:val="hybridMultilevel"/>
    <w:tmpl w:val="D3AE3E30"/>
    <w:lvl w:ilvl="0" w:tplc="083AD254">
      <w:start w:val="1"/>
      <w:numFmt w:val="bullet"/>
      <w:lvlText w:val="–"/>
      <w:lvlJc w:val="left"/>
      <w:pPr>
        <w:tabs>
          <w:tab w:val="num" w:pos="720"/>
        </w:tabs>
        <w:ind w:left="720" w:hanging="360"/>
      </w:pPr>
      <w:rPr>
        <w:rFonts w:ascii="新細明體" w:hAnsi="新細明體" w:hint="default"/>
      </w:rPr>
    </w:lvl>
    <w:lvl w:ilvl="1" w:tplc="5CF24444">
      <w:start w:val="1"/>
      <w:numFmt w:val="bullet"/>
      <w:lvlText w:val="–"/>
      <w:lvlJc w:val="left"/>
      <w:pPr>
        <w:tabs>
          <w:tab w:val="num" w:pos="1440"/>
        </w:tabs>
        <w:ind w:left="1440" w:hanging="360"/>
      </w:pPr>
      <w:rPr>
        <w:rFonts w:ascii="新細明體" w:hAnsi="新細明體" w:hint="default"/>
      </w:rPr>
    </w:lvl>
    <w:lvl w:ilvl="2" w:tplc="77743C6E" w:tentative="1">
      <w:start w:val="1"/>
      <w:numFmt w:val="bullet"/>
      <w:lvlText w:val="–"/>
      <w:lvlJc w:val="left"/>
      <w:pPr>
        <w:tabs>
          <w:tab w:val="num" w:pos="2160"/>
        </w:tabs>
        <w:ind w:left="2160" w:hanging="360"/>
      </w:pPr>
      <w:rPr>
        <w:rFonts w:ascii="新細明體" w:hAnsi="新細明體" w:hint="default"/>
      </w:rPr>
    </w:lvl>
    <w:lvl w:ilvl="3" w:tplc="A7BA03C4" w:tentative="1">
      <w:start w:val="1"/>
      <w:numFmt w:val="bullet"/>
      <w:lvlText w:val="–"/>
      <w:lvlJc w:val="left"/>
      <w:pPr>
        <w:tabs>
          <w:tab w:val="num" w:pos="2880"/>
        </w:tabs>
        <w:ind w:left="2880" w:hanging="360"/>
      </w:pPr>
      <w:rPr>
        <w:rFonts w:ascii="新細明體" w:hAnsi="新細明體" w:hint="default"/>
      </w:rPr>
    </w:lvl>
    <w:lvl w:ilvl="4" w:tplc="F8AA51BC" w:tentative="1">
      <w:start w:val="1"/>
      <w:numFmt w:val="bullet"/>
      <w:lvlText w:val="–"/>
      <w:lvlJc w:val="left"/>
      <w:pPr>
        <w:tabs>
          <w:tab w:val="num" w:pos="3600"/>
        </w:tabs>
        <w:ind w:left="3600" w:hanging="360"/>
      </w:pPr>
      <w:rPr>
        <w:rFonts w:ascii="新細明體" w:hAnsi="新細明體" w:hint="default"/>
      </w:rPr>
    </w:lvl>
    <w:lvl w:ilvl="5" w:tplc="1CBA95E2" w:tentative="1">
      <w:start w:val="1"/>
      <w:numFmt w:val="bullet"/>
      <w:lvlText w:val="–"/>
      <w:lvlJc w:val="left"/>
      <w:pPr>
        <w:tabs>
          <w:tab w:val="num" w:pos="4320"/>
        </w:tabs>
        <w:ind w:left="4320" w:hanging="360"/>
      </w:pPr>
      <w:rPr>
        <w:rFonts w:ascii="新細明體" w:hAnsi="新細明體" w:hint="default"/>
      </w:rPr>
    </w:lvl>
    <w:lvl w:ilvl="6" w:tplc="AD669406" w:tentative="1">
      <w:start w:val="1"/>
      <w:numFmt w:val="bullet"/>
      <w:lvlText w:val="–"/>
      <w:lvlJc w:val="left"/>
      <w:pPr>
        <w:tabs>
          <w:tab w:val="num" w:pos="5040"/>
        </w:tabs>
        <w:ind w:left="5040" w:hanging="360"/>
      </w:pPr>
      <w:rPr>
        <w:rFonts w:ascii="新細明體" w:hAnsi="新細明體" w:hint="default"/>
      </w:rPr>
    </w:lvl>
    <w:lvl w:ilvl="7" w:tplc="462A471A" w:tentative="1">
      <w:start w:val="1"/>
      <w:numFmt w:val="bullet"/>
      <w:lvlText w:val="–"/>
      <w:lvlJc w:val="left"/>
      <w:pPr>
        <w:tabs>
          <w:tab w:val="num" w:pos="5760"/>
        </w:tabs>
        <w:ind w:left="5760" w:hanging="360"/>
      </w:pPr>
      <w:rPr>
        <w:rFonts w:ascii="新細明體" w:hAnsi="新細明體" w:hint="default"/>
      </w:rPr>
    </w:lvl>
    <w:lvl w:ilvl="8" w:tplc="4162BF62" w:tentative="1">
      <w:start w:val="1"/>
      <w:numFmt w:val="bullet"/>
      <w:lvlText w:val="–"/>
      <w:lvlJc w:val="left"/>
      <w:pPr>
        <w:tabs>
          <w:tab w:val="num" w:pos="6480"/>
        </w:tabs>
        <w:ind w:left="6480" w:hanging="360"/>
      </w:pPr>
      <w:rPr>
        <w:rFonts w:ascii="新細明體" w:hAnsi="新細明體" w:hint="default"/>
      </w:rPr>
    </w:lvl>
  </w:abstractNum>
  <w:abstractNum w:abstractNumId="13">
    <w:nsid w:val="31D56874"/>
    <w:multiLevelType w:val="hybridMultilevel"/>
    <w:tmpl w:val="F4BEB5F6"/>
    <w:lvl w:ilvl="0" w:tplc="EE2490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A56E9B"/>
    <w:multiLevelType w:val="hybridMultilevel"/>
    <w:tmpl w:val="0C8CB0FA"/>
    <w:lvl w:ilvl="0" w:tplc="03D6A86E">
      <w:start w:val="1"/>
      <w:numFmt w:val="bullet"/>
      <w:lvlText w:val="–"/>
      <w:lvlJc w:val="left"/>
      <w:pPr>
        <w:tabs>
          <w:tab w:val="num" w:pos="720"/>
        </w:tabs>
        <w:ind w:left="720" w:hanging="360"/>
      </w:pPr>
      <w:rPr>
        <w:rFonts w:ascii="新細明體" w:hAnsi="新細明體" w:hint="default"/>
      </w:rPr>
    </w:lvl>
    <w:lvl w:ilvl="1" w:tplc="30ACBCBA">
      <w:start w:val="1"/>
      <w:numFmt w:val="bullet"/>
      <w:lvlText w:val="–"/>
      <w:lvlJc w:val="left"/>
      <w:pPr>
        <w:tabs>
          <w:tab w:val="num" w:pos="1440"/>
        </w:tabs>
        <w:ind w:left="1440" w:hanging="360"/>
      </w:pPr>
      <w:rPr>
        <w:rFonts w:ascii="新細明體" w:hAnsi="新細明體" w:hint="default"/>
      </w:rPr>
    </w:lvl>
    <w:lvl w:ilvl="2" w:tplc="E528B3E2" w:tentative="1">
      <w:start w:val="1"/>
      <w:numFmt w:val="bullet"/>
      <w:lvlText w:val="–"/>
      <w:lvlJc w:val="left"/>
      <w:pPr>
        <w:tabs>
          <w:tab w:val="num" w:pos="2160"/>
        </w:tabs>
        <w:ind w:left="2160" w:hanging="360"/>
      </w:pPr>
      <w:rPr>
        <w:rFonts w:ascii="新細明體" w:hAnsi="新細明體" w:hint="default"/>
      </w:rPr>
    </w:lvl>
    <w:lvl w:ilvl="3" w:tplc="6FB25D82" w:tentative="1">
      <w:start w:val="1"/>
      <w:numFmt w:val="bullet"/>
      <w:lvlText w:val="–"/>
      <w:lvlJc w:val="left"/>
      <w:pPr>
        <w:tabs>
          <w:tab w:val="num" w:pos="2880"/>
        </w:tabs>
        <w:ind w:left="2880" w:hanging="360"/>
      </w:pPr>
      <w:rPr>
        <w:rFonts w:ascii="新細明體" w:hAnsi="新細明體" w:hint="default"/>
      </w:rPr>
    </w:lvl>
    <w:lvl w:ilvl="4" w:tplc="A6C6AAC2" w:tentative="1">
      <w:start w:val="1"/>
      <w:numFmt w:val="bullet"/>
      <w:lvlText w:val="–"/>
      <w:lvlJc w:val="left"/>
      <w:pPr>
        <w:tabs>
          <w:tab w:val="num" w:pos="3600"/>
        </w:tabs>
        <w:ind w:left="3600" w:hanging="360"/>
      </w:pPr>
      <w:rPr>
        <w:rFonts w:ascii="新細明體" w:hAnsi="新細明體" w:hint="default"/>
      </w:rPr>
    </w:lvl>
    <w:lvl w:ilvl="5" w:tplc="50BE1EF2" w:tentative="1">
      <w:start w:val="1"/>
      <w:numFmt w:val="bullet"/>
      <w:lvlText w:val="–"/>
      <w:lvlJc w:val="left"/>
      <w:pPr>
        <w:tabs>
          <w:tab w:val="num" w:pos="4320"/>
        </w:tabs>
        <w:ind w:left="4320" w:hanging="360"/>
      </w:pPr>
      <w:rPr>
        <w:rFonts w:ascii="新細明體" w:hAnsi="新細明體" w:hint="default"/>
      </w:rPr>
    </w:lvl>
    <w:lvl w:ilvl="6" w:tplc="76844762" w:tentative="1">
      <w:start w:val="1"/>
      <w:numFmt w:val="bullet"/>
      <w:lvlText w:val="–"/>
      <w:lvlJc w:val="left"/>
      <w:pPr>
        <w:tabs>
          <w:tab w:val="num" w:pos="5040"/>
        </w:tabs>
        <w:ind w:left="5040" w:hanging="360"/>
      </w:pPr>
      <w:rPr>
        <w:rFonts w:ascii="新細明體" w:hAnsi="新細明體" w:hint="default"/>
      </w:rPr>
    </w:lvl>
    <w:lvl w:ilvl="7" w:tplc="03B464F4" w:tentative="1">
      <w:start w:val="1"/>
      <w:numFmt w:val="bullet"/>
      <w:lvlText w:val="–"/>
      <w:lvlJc w:val="left"/>
      <w:pPr>
        <w:tabs>
          <w:tab w:val="num" w:pos="5760"/>
        </w:tabs>
        <w:ind w:left="5760" w:hanging="360"/>
      </w:pPr>
      <w:rPr>
        <w:rFonts w:ascii="新細明體" w:hAnsi="新細明體" w:hint="default"/>
      </w:rPr>
    </w:lvl>
    <w:lvl w:ilvl="8" w:tplc="3D868AC4" w:tentative="1">
      <w:start w:val="1"/>
      <w:numFmt w:val="bullet"/>
      <w:lvlText w:val="–"/>
      <w:lvlJc w:val="left"/>
      <w:pPr>
        <w:tabs>
          <w:tab w:val="num" w:pos="6480"/>
        </w:tabs>
        <w:ind w:left="6480" w:hanging="360"/>
      </w:pPr>
      <w:rPr>
        <w:rFonts w:ascii="新細明體" w:hAnsi="新細明體" w:hint="default"/>
      </w:rPr>
    </w:lvl>
  </w:abstractNum>
  <w:abstractNum w:abstractNumId="15">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687B58"/>
    <w:multiLevelType w:val="hybridMultilevel"/>
    <w:tmpl w:val="0B8A0E00"/>
    <w:lvl w:ilvl="0" w:tplc="6F048E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1B41C1"/>
    <w:multiLevelType w:val="hybridMultilevel"/>
    <w:tmpl w:val="9A52A1F0"/>
    <w:lvl w:ilvl="0" w:tplc="1A605EFE">
      <w:start w:val="1"/>
      <w:numFmt w:val="bullet"/>
      <w:lvlText w:val="–"/>
      <w:lvlJc w:val="left"/>
      <w:pPr>
        <w:tabs>
          <w:tab w:val="num" w:pos="720"/>
        </w:tabs>
        <w:ind w:left="720" w:hanging="360"/>
      </w:pPr>
      <w:rPr>
        <w:rFonts w:ascii="新細明體" w:hAnsi="新細明體" w:hint="default"/>
      </w:rPr>
    </w:lvl>
    <w:lvl w:ilvl="1" w:tplc="AEF6B3D0">
      <w:start w:val="1"/>
      <w:numFmt w:val="bullet"/>
      <w:lvlText w:val="–"/>
      <w:lvlJc w:val="left"/>
      <w:pPr>
        <w:tabs>
          <w:tab w:val="num" w:pos="1440"/>
        </w:tabs>
        <w:ind w:left="1440" w:hanging="360"/>
      </w:pPr>
      <w:rPr>
        <w:rFonts w:ascii="新細明體" w:hAnsi="新細明體" w:hint="default"/>
      </w:rPr>
    </w:lvl>
    <w:lvl w:ilvl="2" w:tplc="CD585034" w:tentative="1">
      <w:start w:val="1"/>
      <w:numFmt w:val="bullet"/>
      <w:lvlText w:val="–"/>
      <w:lvlJc w:val="left"/>
      <w:pPr>
        <w:tabs>
          <w:tab w:val="num" w:pos="2160"/>
        </w:tabs>
        <w:ind w:left="2160" w:hanging="360"/>
      </w:pPr>
      <w:rPr>
        <w:rFonts w:ascii="新細明體" w:hAnsi="新細明體" w:hint="default"/>
      </w:rPr>
    </w:lvl>
    <w:lvl w:ilvl="3" w:tplc="441AF20E" w:tentative="1">
      <w:start w:val="1"/>
      <w:numFmt w:val="bullet"/>
      <w:lvlText w:val="–"/>
      <w:lvlJc w:val="left"/>
      <w:pPr>
        <w:tabs>
          <w:tab w:val="num" w:pos="2880"/>
        </w:tabs>
        <w:ind w:left="2880" w:hanging="360"/>
      </w:pPr>
      <w:rPr>
        <w:rFonts w:ascii="新細明體" w:hAnsi="新細明體" w:hint="default"/>
      </w:rPr>
    </w:lvl>
    <w:lvl w:ilvl="4" w:tplc="B5DC38D2" w:tentative="1">
      <w:start w:val="1"/>
      <w:numFmt w:val="bullet"/>
      <w:lvlText w:val="–"/>
      <w:lvlJc w:val="left"/>
      <w:pPr>
        <w:tabs>
          <w:tab w:val="num" w:pos="3600"/>
        </w:tabs>
        <w:ind w:left="3600" w:hanging="360"/>
      </w:pPr>
      <w:rPr>
        <w:rFonts w:ascii="新細明體" w:hAnsi="新細明體" w:hint="default"/>
      </w:rPr>
    </w:lvl>
    <w:lvl w:ilvl="5" w:tplc="2E444068" w:tentative="1">
      <w:start w:val="1"/>
      <w:numFmt w:val="bullet"/>
      <w:lvlText w:val="–"/>
      <w:lvlJc w:val="left"/>
      <w:pPr>
        <w:tabs>
          <w:tab w:val="num" w:pos="4320"/>
        </w:tabs>
        <w:ind w:left="4320" w:hanging="360"/>
      </w:pPr>
      <w:rPr>
        <w:rFonts w:ascii="新細明體" w:hAnsi="新細明體" w:hint="default"/>
      </w:rPr>
    </w:lvl>
    <w:lvl w:ilvl="6" w:tplc="2EEECD50" w:tentative="1">
      <w:start w:val="1"/>
      <w:numFmt w:val="bullet"/>
      <w:lvlText w:val="–"/>
      <w:lvlJc w:val="left"/>
      <w:pPr>
        <w:tabs>
          <w:tab w:val="num" w:pos="5040"/>
        </w:tabs>
        <w:ind w:left="5040" w:hanging="360"/>
      </w:pPr>
      <w:rPr>
        <w:rFonts w:ascii="新細明體" w:hAnsi="新細明體" w:hint="default"/>
      </w:rPr>
    </w:lvl>
    <w:lvl w:ilvl="7" w:tplc="1ABAA28E" w:tentative="1">
      <w:start w:val="1"/>
      <w:numFmt w:val="bullet"/>
      <w:lvlText w:val="–"/>
      <w:lvlJc w:val="left"/>
      <w:pPr>
        <w:tabs>
          <w:tab w:val="num" w:pos="5760"/>
        </w:tabs>
        <w:ind w:left="5760" w:hanging="360"/>
      </w:pPr>
      <w:rPr>
        <w:rFonts w:ascii="新細明體" w:hAnsi="新細明體" w:hint="default"/>
      </w:rPr>
    </w:lvl>
    <w:lvl w:ilvl="8" w:tplc="BF0CA990" w:tentative="1">
      <w:start w:val="1"/>
      <w:numFmt w:val="bullet"/>
      <w:lvlText w:val="–"/>
      <w:lvlJc w:val="left"/>
      <w:pPr>
        <w:tabs>
          <w:tab w:val="num" w:pos="6480"/>
        </w:tabs>
        <w:ind w:left="6480" w:hanging="360"/>
      </w:pPr>
      <w:rPr>
        <w:rFonts w:ascii="新細明體" w:hAnsi="新細明體" w:hint="default"/>
      </w:rPr>
    </w:lvl>
  </w:abstractNum>
  <w:abstractNum w:abstractNumId="19">
    <w:nsid w:val="3F903790"/>
    <w:multiLevelType w:val="hybridMultilevel"/>
    <w:tmpl w:val="9A260B9A"/>
    <w:lvl w:ilvl="0" w:tplc="5BFA1326">
      <w:start w:val="1"/>
      <w:numFmt w:val="decimal"/>
      <w:lvlText w:val="(%1)"/>
      <w:lvlJc w:val="left"/>
      <w:pPr>
        <w:ind w:left="634" w:hanging="480"/>
      </w:pPr>
      <w:rPr>
        <w:rFonts w:hAnsi="標楷體" w:hint="default"/>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20">
    <w:nsid w:val="40675F03"/>
    <w:multiLevelType w:val="hybridMultilevel"/>
    <w:tmpl w:val="8316851C"/>
    <w:lvl w:ilvl="0" w:tplc="E0A84B4E">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7700B3"/>
    <w:multiLevelType w:val="hybridMultilevel"/>
    <w:tmpl w:val="FE72E63A"/>
    <w:lvl w:ilvl="0" w:tplc="F6B888D8">
      <w:start w:val="1"/>
      <w:numFmt w:val="bullet"/>
      <w:lvlText w:val="–"/>
      <w:lvlJc w:val="left"/>
      <w:pPr>
        <w:tabs>
          <w:tab w:val="num" w:pos="720"/>
        </w:tabs>
        <w:ind w:left="720" w:hanging="360"/>
      </w:pPr>
      <w:rPr>
        <w:rFonts w:ascii="新細明體" w:hAnsi="新細明體" w:hint="default"/>
      </w:rPr>
    </w:lvl>
    <w:lvl w:ilvl="1" w:tplc="45F2D8E4">
      <w:start w:val="1"/>
      <w:numFmt w:val="bullet"/>
      <w:lvlText w:val="–"/>
      <w:lvlJc w:val="left"/>
      <w:pPr>
        <w:tabs>
          <w:tab w:val="num" w:pos="1440"/>
        </w:tabs>
        <w:ind w:left="1440" w:hanging="360"/>
      </w:pPr>
      <w:rPr>
        <w:rFonts w:ascii="新細明體" w:hAnsi="新細明體" w:hint="default"/>
      </w:rPr>
    </w:lvl>
    <w:lvl w:ilvl="2" w:tplc="3DA89F5C" w:tentative="1">
      <w:start w:val="1"/>
      <w:numFmt w:val="bullet"/>
      <w:lvlText w:val="–"/>
      <w:lvlJc w:val="left"/>
      <w:pPr>
        <w:tabs>
          <w:tab w:val="num" w:pos="2160"/>
        </w:tabs>
        <w:ind w:left="2160" w:hanging="360"/>
      </w:pPr>
      <w:rPr>
        <w:rFonts w:ascii="新細明體" w:hAnsi="新細明體" w:hint="default"/>
      </w:rPr>
    </w:lvl>
    <w:lvl w:ilvl="3" w:tplc="F62694B0" w:tentative="1">
      <w:start w:val="1"/>
      <w:numFmt w:val="bullet"/>
      <w:lvlText w:val="–"/>
      <w:lvlJc w:val="left"/>
      <w:pPr>
        <w:tabs>
          <w:tab w:val="num" w:pos="2880"/>
        </w:tabs>
        <w:ind w:left="2880" w:hanging="360"/>
      </w:pPr>
      <w:rPr>
        <w:rFonts w:ascii="新細明體" w:hAnsi="新細明體" w:hint="default"/>
      </w:rPr>
    </w:lvl>
    <w:lvl w:ilvl="4" w:tplc="C0B8F1C6" w:tentative="1">
      <w:start w:val="1"/>
      <w:numFmt w:val="bullet"/>
      <w:lvlText w:val="–"/>
      <w:lvlJc w:val="left"/>
      <w:pPr>
        <w:tabs>
          <w:tab w:val="num" w:pos="3600"/>
        </w:tabs>
        <w:ind w:left="3600" w:hanging="360"/>
      </w:pPr>
      <w:rPr>
        <w:rFonts w:ascii="新細明體" w:hAnsi="新細明體" w:hint="default"/>
      </w:rPr>
    </w:lvl>
    <w:lvl w:ilvl="5" w:tplc="BB9AB490" w:tentative="1">
      <w:start w:val="1"/>
      <w:numFmt w:val="bullet"/>
      <w:lvlText w:val="–"/>
      <w:lvlJc w:val="left"/>
      <w:pPr>
        <w:tabs>
          <w:tab w:val="num" w:pos="4320"/>
        </w:tabs>
        <w:ind w:left="4320" w:hanging="360"/>
      </w:pPr>
      <w:rPr>
        <w:rFonts w:ascii="新細明體" w:hAnsi="新細明體" w:hint="default"/>
      </w:rPr>
    </w:lvl>
    <w:lvl w:ilvl="6" w:tplc="A97EF83C" w:tentative="1">
      <w:start w:val="1"/>
      <w:numFmt w:val="bullet"/>
      <w:lvlText w:val="–"/>
      <w:lvlJc w:val="left"/>
      <w:pPr>
        <w:tabs>
          <w:tab w:val="num" w:pos="5040"/>
        </w:tabs>
        <w:ind w:left="5040" w:hanging="360"/>
      </w:pPr>
      <w:rPr>
        <w:rFonts w:ascii="新細明體" w:hAnsi="新細明體" w:hint="default"/>
      </w:rPr>
    </w:lvl>
    <w:lvl w:ilvl="7" w:tplc="DC508A6A" w:tentative="1">
      <w:start w:val="1"/>
      <w:numFmt w:val="bullet"/>
      <w:lvlText w:val="–"/>
      <w:lvlJc w:val="left"/>
      <w:pPr>
        <w:tabs>
          <w:tab w:val="num" w:pos="5760"/>
        </w:tabs>
        <w:ind w:left="5760" w:hanging="360"/>
      </w:pPr>
      <w:rPr>
        <w:rFonts w:ascii="新細明體" w:hAnsi="新細明體" w:hint="default"/>
      </w:rPr>
    </w:lvl>
    <w:lvl w:ilvl="8" w:tplc="9E78F024" w:tentative="1">
      <w:start w:val="1"/>
      <w:numFmt w:val="bullet"/>
      <w:lvlText w:val="–"/>
      <w:lvlJc w:val="left"/>
      <w:pPr>
        <w:tabs>
          <w:tab w:val="num" w:pos="6480"/>
        </w:tabs>
        <w:ind w:left="6480" w:hanging="360"/>
      </w:pPr>
      <w:rPr>
        <w:rFonts w:ascii="新細明體" w:hAnsi="新細明體" w:hint="default"/>
      </w:rPr>
    </w:lvl>
  </w:abstractNum>
  <w:abstractNum w:abstractNumId="22">
    <w:nsid w:val="460168DC"/>
    <w:multiLevelType w:val="hybridMultilevel"/>
    <w:tmpl w:val="32320138"/>
    <w:lvl w:ilvl="0" w:tplc="69A09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2C00DB"/>
    <w:multiLevelType w:val="hybridMultilevel"/>
    <w:tmpl w:val="1BE461E6"/>
    <w:lvl w:ilvl="0" w:tplc="A6DCB852">
      <w:start w:val="4"/>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9D3EF1"/>
    <w:multiLevelType w:val="hybridMultilevel"/>
    <w:tmpl w:val="6D944FA4"/>
    <w:lvl w:ilvl="0" w:tplc="BF42BBF6">
      <w:start w:val="1"/>
      <w:numFmt w:val="bullet"/>
      <w:pStyle w:val="a"/>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C3B2E41"/>
    <w:multiLevelType w:val="hybridMultilevel"/>
    <w:tmpl w:val="454CDFEE"/>
    <w:lvl w:ilvl="0" w:tplc="1EE0C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F4AF2"/>
    <w:multiLevelType w:val="hybridMultilevel"/>
    <w:tmpl w:val="AA9A6EE0"/>
    <w:lvl w:ilvl="0" w:tplc="399A2ADC">
      <w:start w:val="1"/>
      <w:numFmt w:val="taiwaneseCountingThousand"/>
      <w:lvlText w:val="%1、"/>
      <w:lvlJc w:val="left"/>
      <w:pPr>
        <w:ind w:left="660" w:hanging="6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5656E9"/>
    <w:multiLevelType w:val="hybridMultilevel"/>
    <w:tmpl w:val="D060A10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AE67AF7"/>
    <w:multiLevelType w:val="hybridMultilevel"/>
    <w:tmpl w:val="95F8C29E"/>
    <w:lvl w:ilvl="0" w:tplc="6D0CE4BC">
      <w:start w:val="1"/>
      <w:numFmt w:val="decimal"/>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12923"/>
    <w:multiLevelType w:val="hybridMultilevel"/>
    <w:tmpl w:val="BEAA37D8"/>
    <w:lvl w:ilvl="0" w:tplc="9BB4F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965590"/>
    <w:multiLevelType w:val="hybridMultilevel"/>
    <w:tmpl w:val="02746788"/>
    <w:lvl w:ilvl="0" w:tplc="75BADDA8">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1">
    <w:nsid w:val="5FFB5F49"/>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6966B6"/>
    <w:multiLevelType w:val="hybridMultilevel"/>
    <w:tmpl w:val="3B42C3CC"/>
    <w:lvl w:ilvl="0" w:tplc="F9A0F1CA">
      <w:start w:val="1"/>
      <w:numFmt w:val="bullet"/>
      <w:lvlText w:val="–"/>
      <w:lvlJc w:val="left"/>
      <w:pPr>
        <w:tabs>
          <w:tab w:val="num" w:pos="720"/>
        </w:tabs>
        <w:ind w:left="720" w:hanging="360"/>
      </w:pPr>
      <w:rPr>
        <w:rFonts w:ascii="新細明體" w:hAnsi="新細明體" w:hint="default"/>
      </w:rPr>
    </w:lvl>
    <w:lvl w:ilvl="1" w:tplc="810E70FA">
      <w:start w:val="1"/>
      <w:numFmt w:val="bullet"/>
      <w:lvlText w:val="–"/>
      <w:lvlJc w:val="left"/>
      <w:pPr>
        <w:tabs>
          <w:tab w:val="num" w:pos="1440"/>
        </w:tabs>
        <w:ind w:left="1440" w:hanging="360"/>
      </w:pPr>
      <w:rPr>
        <w:rFonts w:ascii="新細明體" w:hAnsi="新細明體" w:hint="default"/>
      </w:rPr>
    </w:lvl>
    <w:lvl w:ilvl="2" w:tplc="ABEE5B5E" w:tentative="1">
      <w:start w:val="1"/>
      <w:numFmt w:val="bullet"/>
      <w:lvlText w:val="–"/>
      <w:lvlJc w:val="left"/>
      <w:pPr>
        <w:tabs>
          <w:tab w:val="num" w:pos="2160"/>
        </w:tabs>
        <w:ind w:left="2160" w:hanging="360"/>
      </w:pPr>
      <w:rPr>
        <w:rFonts w:ascii="新細明體" w:hAnsi="新細明體" w:hint="default"/>
      </w:rPr>
    </w:lvl>
    <w:lvl w:ilvl="3" w:tplc="A2BEEF6C" w:tentative="1">
      <w:start w:val="1"/>
      <w:numFmt w:val="bullet"/>
      <w:lvlText w:val="–"/>
      <w:lvlJc w:val="left"/>
      <w:pPr>
        <w:tabs>
          <w:tab w:val="num" w:pos="2880"/>
        </w:tabs>
        <w:ind w:left="2880" w:hanging="360"/>
      </w:pPr>
      <w:rPr>
        <w:rFonts w:ascii="新細明體" w:hAnsi="新細明體" w:hint="default"/>
      </w:rPr>
    </w:lvl>
    <w:lvl w:ilvl="4" w:tplc="C6845DBA" w:tentative="1">
      <w:start w:val="1"/>
      <w:numFmt w:val="bullet"/>
      <w:lvlText w:val="–"/>
      <w:lvlJc w:val="left"/>
      <w:pPr>
        <w:tabs>
          <w:tab w:val="num" w:pos="3600"/>
        </w:tabs>
        <w:ind w:left="3600" w:hanging="360"/>
      </w:pPr>
      <w:rPr>
        <w:rFonts w:ascii="新細明體" w:hAnsi="新細明體" w:hint="default"/>
      </w:rPr>
    </w:lvl>
    <w:lvl w:ilvl="5" w:tplc="0840D788" w:tentative="1">
      <w:start w:val="1"/>
      <w:numFmt w:val="bullet"/>
      <w:lvlText w:val="–"/>
      <w:lvlJc w:val="left"/>
      <w:pPr>
        <w:tabs>
          <w:tab w:val="num" w:pos="4320"/>
        </w:tabs>
        <w:ind w:left="4320" w:hanging="360"/>
      </w:pPr>
      <w:rPr>
        <w:rFonts w:ascii="新細明體" w:hAnsi="新細明體" w:hint="default"/>
      </w:rPr>
    </w:lvl>
    <w:lvl w:ilvl="6" w:tplc="3698F474" w:tentative="1">
      <w:start w:val="1"/>
      <w:numFmt w:val="bullet"/>
      <w:lvlText w:val="–"/>
      <w:lvlJc w:val="left"/>
      <w:pPr>
        <w:tabs>
          <w:tab w:val="num" w:pos="5040"/>
        </w:tabs>
        <w:ind w:left="5040" w:hanging="360"/>
      </w:pPr>
      <w:rPr>
        <w:rFonts w:ascii="新細明體" w:hAnsi="新細明體" w:hint="default"/>
      </w:rPr>
    </w:lvl>
    <w:lvl w:ilvl="7" w:tplc="B5703350" w:tentative="1">
      <w:start w:val="1"/>
      <w:numFmt w:val="bullet"/>
      <w:lvlText w:val="–"/>
      <w:lvlJc w:val="left"/>
      <w:pPr>
        <w:tabs>
          <w:tab w:val="num" w:pos="5760"/>
        </w:tabs>
        <w:ind w:left="5760" w:hanging="360"/>
      </w:pPr>
      <w:rPr>
        <w:rFonts w:ascii="新細明體" w:hAnsi="新細明體" w:hint="default"/>
      </w:rPr>
    </w:lvl>
    <w:lvl w:ilvl="8" w:tplc="F5845DCA" w:tentative="1">
      <w:start w:val="1"/>
      <w:numFmt w:val="bullet"/>
      <w:lvlText w:val="–"/>
      <w:lvlJc w:val="left"/>
      <w:pPr>
        <w:tabs>
          <w:tab w:val="num" w:pos="6480"/>
        </w:tabs>
        <w:ind w:left="6480" w:hanging="360"/>
      </w:pPr>
      <w:rPr>
        <w:rFonts w:ascii="新細明體" w:hAnsi="新細明體" w:hint="default"/>
      </w:rPr>
    </w:lvl>
  </w:abstractNum>
  <w:abstractNum w:abstractNumId="33">
    <w:nsid w:val="61472444"/>
    <w:multiLevelType w:val="hybridMultilevel"/>
    <w:tmpl w:val="C8D66D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2E9468B"/>
    <w:multiLevelType w:val="hybridMultilevel"/>
    <w:tmpl w:val="F72E5B1E"/>
    <w:lvl w:ilvl="0" w:tplc="A1747A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270AD6"/>
    <w:multiLevelType w:val="hybridMultilevel"/>
    <w:tmpl w:val="EE8272A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AF0557E"/>
    <w:multiLevelType w:val="hybridMultilevel"/>
    <w:tmpl w:val="2E48FBDC"/>
    <w:lvl w:ilvl="0" w:tplc="BE484BE4">
      <w:start w:val="1"/>
      <w:numFmt w:val="bullet"/>
      <w:lvlText w:val="–"/>
      <w:lvlJc w:val="left"/>
      <w:pPr>
        <w:tabs>
          <w:tab w:val="num" w:pos="720"/>
        </w:tabs>
        <w:ind w:left="720" w:hanging="360"/>
      </w:pPr>
      <w:rPr>
        <w:rFonts w:ascii="新細明體" w:hAnsi="新細明體" w:hint="default"/>
      </w:rPr>
    </w:lvl>
    <w:lvl w:ilvl="1" w:tplc="D054E128">
      <w:start w:val="1"/>
      <w:numFmt w:val="bullet"/>
      <w:lvlText w:val="–"/>
      <w:lvlJc w:val="left"/>
      <w:pPr>
        <w:tabs>
          <w:tab w:val="num" w:pos="1440"/>
        </w:tabs>
        <w:ind w:left="1440" w:hanging="360"/>
      </w:pPr>
      <w:rPr>
        <w:rFonts w:ascii="新細明體" w:hAnsi="新細明體" w:hint="default"/>
      </w:rPr>
    </w:lvl>
    <w:lvl w:ilvl="2" w:tplc="75385FE4" w:tentative="1">
      <w:start w:val="1"/>
      <w:numFmt w:val="bullet"/>
      <w:lvlText w:val="–"/>
      <w:lvlJc w:val="left"/>
      <w:pPr>
        <w:tabs>
          <w:tab w:val="num" w:pos="2160"/>
        </w:tabs>
        <w:ind w:left="2160" w:hanging="360"/>
      </w:pPr>
      <w:rPr>
        <w:rFonts w:ascii="新細明體" w:hAnsi="新細明體" w:hint="default"/>
      </w:rPr>
    </w:lvl>
    <w:lvl w:ilvl="3" w:tplc="0AFA8B7C" w:tentative="1">
      <w:start w:val="1"/>
      <w:numFmt w:val="bullet"/>
      <w:lvlText w:val="–"/>
      <w:lvlJc w:val="left"/>
      <w:pPr>
        <w:tabs>
          <w:tab w:val="num" w:pos="2880"/>
        </w:tabs>
        <w:ind w:left="2880" w:hanging="360"/>
      </w:pPr>
      <w:rPr>
        <w:rFonts w:ascii="新細明體" w:hAnsi="新細明體" w:hint="default"/>
      </w:rPr>
    </w:lvl>
    <w:lvl w:ilvl="4" w:tplc="8B6A0910" w:tentative="1">
      <w:start w:val="1"/>
      <w:numFmt w:val="bullet"/>
      <w:lvlText w:val="–"/>
      <w:lvlJc w:val="left"/>
      <w:pPr>
        <w:tabs>
          <w:tab w:val="num" w:pos="3600"/>
        </w:tabs>
        <w:ind w:left="3600" w:hanging="360"/>
      </w:pPr>
      <w:rPr>
        <w:rFonts w:ascii="新細明體" w:hAnsi="新細明體" w:hint="default"/>
      </w:rPr>
    </w:lvl>
    <w:lvl w:ilvl="5" w:tplc="2B62D3FE" w:tentative="1">
      <w:start w:val="1"/>
      <w:numFmt w:val="bullet"/>
      <w:lvlText w:val="–"/>
      <w:lvlJc w:val="left"/>
      <w:pPr>
        <w:tabs>
          <w:tab w:val="num" w:pos="4320"/>
        </w:tabs>
        <w:ind w:left="4320" w:hanging="360"/>
      </w:pPr>
      <w:rPr>
        <w:rFonts w:ascii="新細明體" w:hAnsi="新細明體" w:hint="default"/>
      </w:rPr>
    </w:lvl>
    <w:lvl w:ilvl="6" w:tplc="4E8E2442" w:tentative="1">
      <w:start w:val="1"/>
      <w:numFmt w:val="bullet"/>
      <w:lvlText w:val="–"/>
      <w:lvlJc w:val="left"/>
      <w:pPr>
        <w:tabs>
          <w:tab w:val="num" w:pos="5040"/>
        </w:tabs>
        <w:ind w:left="5040" w:hanging="360"/>
      </w:pPr>
      <w:rPr>
        <w:rFonts w:ascii="新細明體" w:hAnsi="新細明體" w:hint="default"/>
      </w:rPr>
    </w:lvl>
    <w:lvl w:ilvl="7" w:tplc="55F05D08" w:tentative="1">
      <w:start w:val="1"/>
      <w:numFmt w:val="bullet"/>
      <w:lvlText w:val="–"/>
      <w:lvlJc w:val="left"/>
      <w:pPr>
        <w:tabs>
          <w:tab w:val="num" w:pos="5760"/>
        </w:tabs>
        <w:ind w:left="5760" w:hanging="360"/>
      </w:pPr>
      <w:rPr>
        <w:rFonts w:ascii="新細明體" w:hAnsi="新細明體" w:hint="default"/>
      </w:rPr>
    </w:lvl>
    <w:lvl w:ilvl="8" w:tplc="79FE833C" w:tentative="1">
      <w:start w:val="1"/>
      <w:numFmt w:val="bullet"/>
      <w:lvlText w:val="–"/>
      <w:lvlJc w:val="left"/>
      <w:pPr>
        <w:tabs>
          <w:tab w:val="num" w:pos="6480"/>
        </w:tabs>
        <w:ind w:left="6480" w:hanging="360"/>
      </w:pPr>
      <w:rPr>
        <w:rFonts w:ascii="新細明體" w:hAnsi="新細明體" w:hint="default"/>
      </w:rPr>
    </w:lvl>
  </w:abstractNum>
  <w:abstractNum w:abstractNumId="37">
    <w:nsid w:val="6C316799"/>
    <w:multiLevelType w:val="hybridMultilevel"/>
    <w:tmpl w:val="55BC8426"/>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D0C3613"/>
    <w:multiLevelType w:val="hybridMultilevel"/>
    <w:tmpl w:val="C7021B56"/>
    <w:lvl w:ilvl="0" w:tplc="CADCEB80">
      <w:start w:val="1"/>
      <w:numFmt w:val="decimal"/>
      <w:lvlText w:val="(%1)"/>
      <w:lvlJc w:val="left"/>
      <w:pPr>
        <w:ind w:left="1996" w:hanging="720"/>
      </w:pPr>
      <w:rPr>
        <w:rFonts w:hint="default"/>
      </w:rPr>
    </w:lvl>
    <w:lvl w:ilvl="1" w:tplc="FAD205A2">
      <w:start w:val="1"/>
      <w:numFmt w:val="decimalEnclosedCircle"/>
      <w:lvlText w:val="%2"/>
      <w:lvlJc w:val="left"/>
      <w:pPr>
        <w:ind w:left="2116" w:hanging="360"/>
      </w:pPr>
      <w:rPr>
        <w:rFonts w:ascii="Batang" w:eastAsia="Batang" w:hAnsi="Batang" w:hint="default"/>
      </w:rPr>
    </w:lvl>
    <w:lvl w:ilvl="2" w:tplc="D6202DF6">
      <w:start w:val="1"/>
      <w:numFmt w:val="taiwaneseCountingThousand"/>
      <w:lvlText w:val="%3、"/>
      <w:lvlJc w:val="left"/>
      <w:pPr>
        <w:ind w:left="2956" w:hanging="720"/>
      </w:pPr>
      <w:rPr>
        <w:rFonts w:hint="default"/>
        <w:lang w:val="en-US"/>
      </w:rPr>
    </w:lvl>
    <w:lvl w:ilvl="3" w:tplc="A45C0232">
      <w:start w:val="1"/>
      <w:numFmt w:val="taiwaneseCountingThousand"/>
      <w:lvlText w:val="(%4)"/>
      <w:lvlJc w:val="left"/>
      <w:pPr>
        <w:ind w:left="3436" w:hanging="720"/>
      </w:pPr>
      <w:rPr>
        <w:rFonts w:hint="default"/>
      </w:rPr>
    </w:lvl>
    <w:lvl w:ilvl="4" w:tplc="2110CB1E">
      <w:start w:val="1"/>
      <w:numFmt w:val="decimal"/>
      <w:lvlText w:val="%5."/>
      <w:lvlJc w:val="left"/>
      <w:pPr>
        <w:ind w:left="3556" w:hanging="360"/>
      </w:pPr>
      <w:rPr>
        <w:rFonts w:hint="default"/>
      </w:r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nsid w:val="6F711A32"/>
    <w:multiLevelType w:val="hybridMultilevel"/>
    <w:tmpl w:val="45903A3E"/>
    <w:lvl w:ilvl="0" w:tplc="5BFA1326">
      <w:start w:val="1"/>
      <w:numFmt w:val="decim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DC2369"/>
    <w:multiLevelType w:val="hybridMultilevel"/>
    <w:tmpl w:val="2EC8FB14"/>
    <w:lvl w:ilvl="0" w:tplc="B4B880A4">
      <w:start w:val="1"/>
      <w:numFmt w:val="taiwaneseCountingThousand"/>
      <w:lvlText w:val="(%1)"/>
      <w:lvlJc w:val="left"/>
      <w:pPr>
        <w:ind w:left="1360" w:hanging="720"/>
      </w:pPr>
      <w:rPr>
        <w:rFonts w:cs="Times New Roman" w:hint="default"/>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abstractNum w:abstractNumId="41">
    <w:nsid w:val="772E6A17"/>
    <w:multiLevelType w:val="hybridMultilevel"/>
    <w:tmpl w:val="B526E9EE"/>
    <w:lvl w:ilvl="0" w:tplc="98965CE8">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152089"/>
    <w:multiLevelType w:val="hybridMultilevel"/>
    <w:tmpl w:val="A61C3470"/>
    <w:lvl w:ilvl="0" w:tplc="760069C8">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5B1B31"/>
    <w:multiLevelType w:val="hybridMultilevel"/>
    <w:tmpl w:val="908A6AFE"/>
    <w:lvl w:ilvl="0" w:tplc="2390BF94">
      <w:start w:val="1"/>
      <w:numFmt w:val="bullet"/>
      <w:pStyle w:val="a0"/>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44">
    <w:nsid w:val="79A918EB"/>
    <w:multiLevelType w:val="hybridMultilevel"/>
    <w:tmpl w:val="354CF278"/>
    <w:lvl w:ilvl="0" w:tplc="E52452AE">
      <w:start w:val="1"/>
      <w:numFmt w:val="taiwaneseCountingThousand"/>
      <w:lvlText w:val="(%1)"/>
      <w:lvlJc w:val="left"/>
      <w:pPr>
        <w:ind w:left="1360" w:hanging="720"/>
      </w:pPr>
      <w:rPr>
        <w:rFonts w:ascii="標楷體" w:eastAsia="標楷體" w:hAnsi="標楷體" w:hint="default"/>
        <w:sz w:val="36"/>
        <w:szCs w:val="36"/>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7"/>
  </w:num>
  <w:num w:numId="2">
    <w:abstractNumId w:val="17"/>
  </w:num>
  <w:num w:numId="3">
    <w:abstractNumId w:val="15"/>
  </w:num>
  <w:num w:numId="4">
    <w:abstractNumId w:val="33"/>
  </w:num>
  <w:num w:numId="5">
    <w:abstractNumId w:val="24"/>
  </w:num>
  <w:num w:numId="6">
    <w:abstractNumId w:val="13"/>
  </w:num>
  <w:num w:numId="7">
    <w:abstractNumId w:val="23"/>
  </w:num>
  <w:num w:numId="8">
    <w:abstractNumId w:val="16"/>
  </w:num>
  <w:num w:numId="9">
    <w:abstractNumId w:val="2"/>
  </w:num>
  <w:num w:numId="10">
    <w:abstractNumId w:val="1"/>
  </w:num>
  <w:num w:numId="11">
    <w:abstractNumId w:val="27"/>
  </w:num>
  <w:num w:numId="12">
    <w:abstractNumId w:val="11"/>
  </w:num>
  <w:num w:numId="13">
    <w:abstractNumId w:val="29"/>
  </w:num>
  <w:num w:numId="14">
    <w:abstractNumId w:val="26"/>
  </w:num>
  <w:num w:numId="15">
    <w:abstractNumId w:val="22"/>
  </w:num>
  <w:num w:numId="16">
    <w:abstractNumId w:val="43"/>
  </w:num>
  <w:num w:numId="17">
    <w:abstractNumId w:val="31"/>
  </w:num>
  <w:num w:numId="18">
    <w:abstractNumId w:val="9"/>
  </w:num>
  <w:num w:numId="19">
    <w:abstractNumId w:val="34"/>
  </w:num>
  <w:num w:numId="20">
    <w:abstractNumId w:val="25"/>
  </w:num>
  <w:num w:numId="21">
    <w:abstractNumId w:val="3"/>
  </w:num>
  <w:num w:numId="22">
    <w:abstractNumId w:val="6"/>
  </w:num>
  <w:num w:numId="23">
    <w:abstractNumId w:val="37"/>
  </w:num>
  <w:num w:numId="24">
    <w:abstractNumId w:val="8"/>
  </w:num>
  <w:num w:numId="25">
    <w:abstractNumId w:val="35"/>
  </w:num>
  <w:num w:numId="26">
    <w:abstractNumId w:val="4"/>
  </w:num>
  <w:num w:numId="27">
    <w:abstractNumId w:val="40"/>
  </w:num>
  <w:num w:numId="28">
    <w:abstractNumId w:val="44"/>
  </w:num>
  <w:num w:numId="29">
    <w:abstractNumId w:val="28"/>
  </w:num>
  <w:num w:numId="30">
    <w:abstractNumId w:val="19"/>
  </w:num>
  <w:num w:numId="31">
    <w:abstractNumId w:val="30"/>
  </w:num>
  <w:num w:numId="32">
    <w:abstractNumId w:val="39"/>
  </w:num>
  <w:num w:numId="33">
    <w:abstractNumId w:val="38"/>
  </w:num>
  <w:num w:numId="34">
    <w:abstractNumId w:val="41"/>
  </w:num>
  <w:num w:numId="35">
    <w:abstractNumId w:val="20"/>
  </w:num>
  <w:num w:numId="36">
    <w:abstractNumId w:val="42"/>
  </w:num>
  <w:num w:numId="37">
    <w:abstractNumId w:val="0"/>
  </w:num>
  <w:num w:numId="38">
    <w:abstractNumId w:val="18"/>
  </w:num>
  <w:num w:numId="39">
    <w:abstractNumId w:val="14"/>
  </w:num>
  <w:num w:numId="40">
    <w:abstractNumId w:val="21"/>
  </w:num>
  <w:num w:numId="41">
    <w:abstractNumId w:val="10"/>
  </w:num>
  <w:num w:numId="42">
    <w:abstractNumId w:val="32"/>
  </w:num>
  <w:num w:numId="43">
    <w:abstractNumId w:val="5"/>
  </w:num>
  <w:num w:numId="44">
    <w:abstractNumId w:val="36"/>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257"/>
    <w:rsid w:val="00050CF7"/>
    <w:rsid w:val="000C0701"/>
    <w:rsid w:val="000C3E7C"/>
    <w:rsid w:val="000D26F4"/>
    <w:rsid w:val="000F1BE9"/>
    <w:rsid w:val="0011129E"/>
    <w:rsid w:val="00132374"/>
    <w:rsid w:val="001428F3"/>
    <w:rsid w:val="00151DF9"/>
    <w:rsid w:val="001616FA"/>
    <w:rsid w:val="00163CBD"/>
    <w:rsid w:val="001645CB"/>
    <w:rsid w:val="00175532"/>
    <w:rsid w:val="00177501"/>
    <w:rsid w:val="00197185"/>
    <w:rsid w:val="001E42CB"/>
    <w:rsid w:val="001E7286"/>
    <w:rsid w:val="001F5FBE"/>
    <w:rsid w:val="0021639B"/>
    <w:rsid w:val="00232E9E"/>
    <w:rsid w:val="00295868"/>
    <w:rsid w:val="002A62B6"/>
    <w:rsid w:val="002C6DE7"/>
    <w:rsid w:val="002C772A"/>
    <w:rsid w:val="002D189F"/>
    <w:rsid w:val="002D6F3D"/>
    <w:rsid w:val="002E0844"/>
    <w:rsid w:val="002E1FFD"/>
    <w:rsid w:val="002E2523"/>
    <w:rsid w:val="002F7690"/>
    <w:rsid w:val="00306267"/>
    <w:rsid w:val="0032487C"/>
    <w:rsid w:val="00337AD6"/>
    <w:rsid w:val="0034473B"/>
    <w:rsid w:val="00364D21"/>
    <w:rsid w:val="00375176"/>
    <w:rsid w:val="00394F7F"/>
    <w:rsid w:val="003B5FF3"/>
    <w:rsid w:val="003D387F"/>
    <w:rsid w:val="004233C5"/>
    <w:rsid w:val="00444F51"/>
    <w:rsid w:val="00445B03"/>
    <w:rsid w:val="00445D80"/>
    <w:rsid w:val="00466ECD"/>
    <w:rsid w:val="004A5333"/>
    <w:rsid w:val="004B5281"/>
    <w:rsid w:val="004D0C3A"/>
    <w:rsid w:val="0050231B"/>
    <w:rsid w:val="005041F1"/>
    <w:rsid w:val="005434BE"/>
    <w:rsid w:val="00556A2C"/>
    <w:rsid w:val="0057054A"/>
    <w:rsid w:val="005C4850"/>
    <w:rsid w:val="005C79F6"/>
    <w:rsid w:val="005F4500"/>
    <w:rsid w:val="00600D14"/>
    <w:rsid w:val="00602A57"/>
    <w:rsid w:val="006132EC"/>
    <w:rsid w:val="0063264E"/>
    <w:rsid w:val="00633878"/>
    <w:rsid w:val="00645419"/>
    <w:rsid w:val="0064706B"/>
    <w:rsid w:val="00654DF1"/>
    <w:rsid w:val="00663CF0"/>
    <w:rsid w:val="00693391"/>
    <w:rsid w:val="006A4EA7"/>
    <w:rsid w:val="006C7DBF"/>
    <w:rsid w:val="006D5087"/>
    <w:rsid w:val="0070316C"/>
    <w:rsid w:val="00703B71"/>
    <w:rsid w:val="00707FFE"/>
    <w:rsid w:val="00710AB3"/>
    <w:rsid w:val="00720B92"/>
    <w:rsid w:val="00723B68"/>
    <w:rsid w:val="00724091"/>
    <w:rsid w:val="00733E55"/>
    <w:rsid w:val="00745F40"/>
    <w:rsid w:val="00754704"/>
    <w:rsid w:val="00754807"/>
    <w:rsid w:val="0075706E"/>
    <w:rsid w:val="007643C2"/>
    <w:rsid w:val="007746E7"/>
    <w:rsid w:val="00797029"/>
    <w:rsid w:val="00797AFD"/>
    <w:rsid w:val="007A4B5B"/>
    <w:rsid w:val="007C2F24"/>
    <w:rsid w:val="007C41D2"/>
    <w:rsid w:val="007D3AE0"/>
    <w:rsid w:val="007D4A89"/>
    <w:rsid w:val="007E0A7C"/>
    <w:rsid w:val="007E7400"/>
    <w:rsid w:val="007F4EEB"/>
    <w:rsid w:val="00814D45"/>
    <w:rsid w:val="00820AF4"/>
    <w:rsid w:val="0084220E"/>
    <w:rsid w:val="00870310"/>
    <w:rsid w:val="0087768A"/>
    <w:rsid w:val="00886E59"/>
    <w:rsid w:val="008B3AB6"/>
    <w:rsid w:val="008C4A3B"/>
    <w:rsid w:val="008C78E0"/>
    <w:rsid w:val="008F0C43"/>
    <w:rsid w:val="008F4AE6"/>
    <w:rsid w:val="00907750"/>
    <w:rsid w:val="00911D6D"/>
    <w:rsid w:val="00943FD4"/>
    <w:rsid w:val="00955C3C"/>
    <w:rsid w:val="00976D43"/>
    <w:rsid w:val="00996D77"/>
    <w:rsid w:val="009A3257"/>
    <w:rsid w:val="009A6159"/>
    <w:rsid w:val="009A7A55"/>
    <w:rsid w:val="009D3FB3"/>
    <w:rsid w:val="009D51EB"/>
    <w:rsid w:val="009E6F04"/>
    <w:rsid w:val="009F5719"/>
    <w:rsid w:val="00A04DD0"/>
    <w:rsid w:val="00A413C2"/>
    <w:rsid w:val="00A5277B"/>
    <w:rsid w:val="00A5424A"/>
    <w:rsid w:val="00A655C4"/>
    <w:rsid w:val="00A754F7"/>
    <w:rsid w:val="00AC103E"/>
    <w:rsid w:val="00AE687E"/>
    <w:rsid w:val="00AF0246"/>
    <w:rsid w:val="00AF076F"/>
    <w:rsid w:val="00B03211"/>
    <w:rsid w:val="00B133E9"/>
    <w:rsid w:val="00B35D7B"/>
    <w:rsid w:val="00B40FF6"/>
    <w:rsid w:val="00B44949"/>
    <w:rsid w:val="00B62883"/>
    <w:rsid w:val="00B72A20"/>
    <w:rsid w:val="00B96F9F"/>
    <w:rsid w:val="00BA6B18"/>
    <w:rsid w:val="00BB4E4E"/>
    <w:rsid w:val="00BC4CB5"/>
    <w:rsid w:val="00BC4F89"/>
    <w:rsid w:val="00C00EF5"/>
    <w:rsid w:val="00C03229"/>
    <w:rsid w:val="00C1348B"/>
    <w:rsid w:val="00C2114E"/>
    <w:rsid w:val="00C37E3F"/>
    <w:rsid w:val="00C45461"/>
    <w:rsid w:val="00C47ADA"/>
    <w:rsid w:val="00C518B0"/>
    <w:rsid w:val="00C53084"/>
    <w:rsid w:val="00C63AAC"/>
    <w:rsid w:val="00C774F8"/>
    <w:rsid w:val="00C87B46"/>
    <w:rsid w:val="00C92A9E"/>
    <w:rsid w:val="00CA37BE"/>
    <w:rsid w:val="00CA4449"/>
    <w:rsid w:val="00CC7D11"/>
    <w:rsid w:val="00CF0C8C"/>
    <w:rsid w:val="00CF6C88"/>
    <w:rsid w:val="00D22759"/>
    <w:rsid w:val="00D375B2"/>
    <w:rsid w:val="00D909F4"/>
    <w:rsid w:val="00DB69DF"/>
    <w:rsid w:val="00DD0ADE"/>
    <w:rsid w:val="00DD73B6"/>
    <w:rsid w:val="00DF45CE"/>
    <w:rsid w:val="00E00A21"/>
    <w:rsid w:val="00E20457"/>
    <w:rsid w:val="00E22F36"/>
    <w:rsid w:val="00E44B7E"/>
    <w:rsid w:val="00E44EC8"/>
    <w:rsid w:val="00E87357"/>
    <w:rsid w:val="00E9767E"/>
    <w:rsid w:val="00EC0876"/>
    <w:rsid w:val="00ED1736"/>
    <w:rsid w:val="00EE0812"/>
    <w:rsid w:val="00EE605E"/>
    <w:rsid w:val="00EE6A90"/>
    <w:rsid w:val="00F011BA"/>
    <w:rsid w:val="00F05A4C"/>
    <w:rsid w:val="00F06212"/>
    <w:rsid w:val="00F06C00"/>
    <w:rsid w:val="00F075BE"/>
    <w:rsid w:val="00F10C66"/>
    <w:rsid w:val="00F22E8B"/>
    <w:rsid w:val="00F26585"/>
    <w:rsid w:val="00F32C21"/>
    <w:rsid w:val="00F41E6E"/>
    <w:rsid w:val="00F612BA"/>
    <w:rsid w:val="00F9216B"/>
    <w:rsid w:val="00FC295E"/>
    <w:rsid w:val="00FD107F"/>
    <w:rsid w:val="00FD1CA5"/>
    <w:rsid w:val="00FF29E6"/>
    <w:rsid w:val="00FF55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C3A"/>
    <w:pPr>
      <w:widowControl w:val="0"/>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customStyle="1" w:styleId="Default">
    <w:name w:val="Default"/>
    <w:uiPriority w:val="99"/>
    <w:rsid w:val="003B5FF3"/>
    <w:pPr>
      <w:widowControl w:val="0"/>
      <w:autoSpaceDE w:val="0"/>
      <w:autoSpaceDN w:val="0"/>
      <w:adjustRightInd w:val="0"/>
    </w:pPr>
    <w:rPr>
      <w:rFonts w:ascii="新細明體" w:eastAsia="新細明體" w:hAnsi="Calibri" w:cs="新細明體"/>
      <w:color w:val="000000"/>
      <w:kern w:val="0"/>
      <w:szCs w:val="24"/>
    </w:rPr>
  </w:style>
  <w:style w:type="character" w:styleId="af1">
    <w:name w:val="Hyperlink"/>
    <w:basedOn w:val="a2"/>
    <w:uiPriority w:val="99"/>
    <w:semiHidden/>
    <w:unhideWhenUsed/>
    <w:rsid w:val="00F612BA"/>
    <w:rPr>
      <w:color w:val="0000FF"/>
      <w:u w:val="single"/>
    </w:rPr>
  </w:style>
  <w:style w:type="paragraph" w:styleId="Web">
    <w:name w:val="Normal (Web)"/>
    <w:basedOn w:val="a1"/>
    <w:uiPriority w:val="99"/>
    <w:semiHidden/>
    <w:unhideWhenUsed/>
    <w:rsid w:val="0087768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customStyle="1" w:styleId="Default">
    <w:name w:val="Default"/>
    <w:uiPriority w:val="99"/>
    <w:rsid w:val="003B5FF3"/>
    <w:pPr>
      <w:widowControl w:val="0"/>
      <w:autoSpaceDE w:val="0"/>
      <w:autoSpaceDN w:val="0"/>
      <w:adjustRightInd w:val="0"/>
    </w:pPr>
    <w:rPr>
      <w:rFonts w:ascii="新細明體" w:eastAsia="新細明體" w:hAnsi="Calibri" w:cs="新細明體"/>
      <w:color w:val="000000"/>
      <w:kern w:val="0"/>
      <w:szCs w:val="24"/>
    </w:rPr>
  </w:style>
  <w:style w:type="character" w:styleId="af1">
    <w:name w:val="Hyperlink"/>
    <w:basedOn w:val="a2"/>
    <w:uiPriority w:val="99"/>
    <w:semiHidden/>
    <w:unhideWhenUsed/>
    <w:rsid w:val="00F612BA"/>
    <w:rPr>
      <w:color w:val="0000FF"/>
      <w:u w:val="single"/>
    </w:rPr>
  </w:style>
  <w:style w:type="paragraph" w:styleId="Web">
    <w:name w:val="Normal (Web)"/>
    <w:basedOn w:val="a1"/>
    <w:uiPriority w:val="99"/>
    <w:semiHidden/>
    <w:unhideWhenUsed/>
    <w:rsid w:val="0087768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681594">
      <w:bodyDiv w:val="1"/>
      <w:marLeft w:val="0"/>
      <w:marRight w:val="0"/>
      <w:marTop w:val="0"/>
      <w:marBottom w:val="0"/>
      <w:divBdr>
        <w:top w:val="none" w:sz="0" w:space="0" w:color="auto"/>
        <w:left w:val="none" w:sz="0" w:space="0" w:color="auto"/>
        <w:bottom w:val="none" w:sz="0" w:space="0" w:color="auto"/>
        <w:right w:val="none" w:sz="0" w:space="0" w:color="auto"/>
      </w:divBdr>
    </w:div>
    <w:div w:id="17127603">
      <w:bodyDiv w:val="1"/>
      <w:marLeft w:val="0"/>
      <w:marRight w:val="0"/>
      <w:marTop w:val="0"/>
      <w:marBottom w:val="0"/>
      <w:divBdr>
        <w:top w:val="none" w:sz="0" w:space="0" w:color="auto"/>
        <w:left w:val="none" w:sz="0" w:space="0" w:color="auto"/>
        <w:bottom w:val="none" w:sz="0" w:space="0" w:color="auto"/>
        <w:right w:val="none" w:sz="0" w:space="0" w:color="auto"/>
      </w:divBdr>
    </w:div>
    <w:div w:id="47193197">
      <w:bodyDiv w:val="1"/>
      <w:marLeft w:val="0"/>
      <w:marRight w:val="0"/>
      <w:marTop w:val="0"/>
      <w:marBottom w:val="0"/>
      <w:divBdr>
        <w:top w:val="none" w:sz="0" w:space="0" w:color="auto"/>
        <w:left w:val="none" w:sz="0" w:space="0" w:color="auto"/>
        <w:bottom w:val="none" w:sz="0" w:space="0" w:color="auto"/>
        <w:right w:val="none" w:sz="0" w:space="0" w:color="auto"/>
      </w:divBdr>
    </w:div>
    <w:div w:id="48384073">
      <w:bodyDiv w:val="1"/>
      <w:marLeft w:val="0"/>
      <w:marRight w:val="0"/>
      <w:marTop w:val="0"/>
      <w:marBottom w:val="0"/>
      <w:divBdr>
        <w:top w:val="none" w:sz="0" w:space="0" w:color="auto"/>
        <w:left w:val="none" w:sz="0" w:space="0" w:color="auto"/>
        <w:bottom w:val="none" w:sz="0" w:space="0" w:color="auto"/>
        <w:right w:val="none" w:sz="0" w:space="0" w:color="auto"/>
      </w:divBdr>
    </w:div>
    <w:div w:id="135100884">
      <w:bodyDiv w:val="1"/>
      <w:marLeft w:val="0"/>
      <w:marRight w:val="0"/>
      <w:marTop w:val="0"/>
      <w:marBottom w:val="0"/>
      <w:divBdr>
        <w:top w:val="none" w:sz="0" w:space="0" w:color="auto"/>
        <w:left w:val="none" w:sz="0" w:space="0" w:color="auto"/>
        <w:bottom w:val="none" w:sz="0" w:space="0" w:color="auto"/>
        <w:right w:val="none" w:sz="0" w:space="0" w:color="auto"/>
      </w:divBdr>
    </w:div>
    <w:div w:id="163206896">
      <w:bodyDiv w:val="1"/>
      <w:marLeft w:val="0"/>
      <w:marRight w:val="0"/>
      <w:marTop w:val="0"/>
      <w:marBottom w:val="0"/>
      <w:divBdr>
        <w:top w:val="none" w:sz="0" w:space="0" w:color="auto"/>
        <w:left w:val="none" w:sz="0" w:space="0" w:color="auto"/>
        <w:bottom w:val="none" w:sz="0" w:space="0" w:color="auto"/>
        <w:right w:val="none" w:sz="0" w:space="0" w:color="auto"/>
      </w:divBdr>
    </w:div>
    <w:div w:id="252595799">
      <w:bodyDiv w:val="1"/>
      <w:marLeft w:val="0"/>
      <w:marRight w:val="0"/>
      <w:marTop w:val="0"/>
      <w:marBottom w:val="0"/>
      <w:divBdr>
        <w:top w:val="none" w:sz="0" w:space="0" w:color="auto"/>
        <w:left w:val="none" w:sz="0" w:space="0" w:color="auto"/>
        <w:bottom w:val="none" w:sz="0" w:space="0" w:color="auto"/>
        <w:right w:val="none" w:sz="0" w:space="0" w:color="auto"/>
      </w:divBdr>
    </w:div>
    <w:div w:id="260915505">
      <w:bodyDiv w:val="1"/>
      <w:marLeft w:val="0"/>
      <w:marRight w:val="0"/>
      <w:marTop w:val="0"/>
      <w:marBottom w:val="0"/>
      <w:divBdr>
        <w:top w:val="none" w:sz="0" w:space="0" w:color="auto"/>
        <w:left w:val="none" w:sz="0" w:space="0" w:color="auto"/>
        <w:bottom w:val="none" w:sz="0" w:space="0" w:color="auto"/>
        <w:right w:val="none" w:sz="0" w:space="0" w:color="auto"/>
      </w:divBdr>
    </w:div>
    <w:div w:id="291402976">
      <w:bodyDiv w:val="1"/>
      <w:marLeft w:val="0"/>
      <w:marRight w:val="0"/>
      <w:marTop w:val="0"/>
      <w:marBottom w:val="0"/>
      <w:divBdr>
        <w:top w:val="none" w:sz="0" w:space="0" w:color="auto"/>
        <w:left w:val="none" w:sz="0" w:space="0" w:color="auto"/>
        <w:bottom w:val="none" w:sz="0" w:space="0" w:color="auto"/>
        <w:right w:val="none" w:sz="0" w:space="0" w:color="auto"/>
      </w:divBdr>
    </w:div>
    <w:div w:id="291834119">
      <w:bodyDiv w:val="1"/>
      <w:marLeft w:val="0"/>
      <w:marRight w:val="0"/>
      <w:marTop w:val="0"/>
      <w:marBottom w:val="0"/>
      <w:divBdr>
        <w:top w:val="none" w:sz="0" w:space="0" w:color="auto"/>
        <w:left w:val="none" w:sz="0" w:space="0" w:color="auto"/>
        <w:bottom w:val="none" w:sz="0" w:space="0" w:color="auto"/>
        <w:right w:val="none" w:sz="0" w:space="0" w:color="auto"/>
      </w:divBdr>
    </w:div>
    <w:div w:id="311762450">
      <w:bodyDiv w:val="1"/>
      <w:marLeft w:val="0"/>
      <w:marRight w:val="0"/>
      <w:marTop w:val="0"/>
      <w:marBottom w:val="0"/>
      <w:divBdr>
        <w:top w:val="none" w:sz="0" w:space="0" w:color="auto"/>
        <w:left w:val="none" w:sz="0" w:space="0" w:color="auto"/>
        <w:bottom w:val="none" w:sz="0" w:space="0" w:color="auto"/>
        <w:right w:val="none" w:sz="0" w:space="0" w:color="auto"/>
      </w:divBdr>
    </w:div>
    <w:div w:id="337276990">
      <w:bodyDiv w:val="1"/>
      <w:marLeft w:val="0"/>
      <w:marRight w:val="0"/>
      <w:marTop w:val="0"/>
      <w:marBottom w:val="0"/>
      <w:divBdr>
        <w:top w:val="none" w:sz="0" w:space="0" w:color="auto"/>
        <w:left w:val="none" w:sz="0" w:space="0" w:color="auto"/>
        <w:bottom w:val="none" w:sz="0" w:space="0" w:color="auto"/>
        <w:right w:val="none" w:sz="0" w:space="0" w:color="auto"/>
      </w:divBdr>
    </w:div>
    <w:div w:id="362174505">
      <w:bodyDiv w:val="1"/>
      <w:marLeft w:val="0"/>
      <w:marRight w:val="0"/>
      <w:marTop w:val="0"/>
      <w:marBottom w:val="0"/>
      <w:divBdr>
        <w:top w:val="none" w:sz="0" w:space="0" w:color="auto"/>
        <w:left w:val="none" w:sz="0" w:space="0" w:color="auto"/>
        <w:bottom w:val="none" w:sz="0" w:space="0" w:color="auto"/>
        <w:right w:val="none" w:sz="0" w:space="0" w:color="auto"/>
      </w:divBdr>
    </w:div>
    <w:div w:id="383215366">
      <w:bodyDiv w:val="1"/>
      <w:marLeft w:val="0"/>
      <w:marRight w:val="0"/>
      <w:marTop w:val="0"/>
      <w:marBottom w:val="0"/>
      <w:divBdr>
        <w:top w:val="none" w:sz="0" w:space="0" w:color="auto"/>
        <w:left w:val="none" w:sz="0" w:space="0" w:color="auto"/>
        <w:bottom w:val="none" w:sz="0" w:space="0" w:color="auto"/>
        <w:right w:val="none" w:sz="0" w:space="0" w:color="auto"/>
      </w:divBdr>
    </w:div>
    <w:div w:id="387343586">
      <w:bodyDiv w:val="1"/>
      <w:marLeft w:val="0"/>
      <w:marRight w:val="0"/>
      <w:marTop w:val="0"/>
      <w:marBottom w:val="0"/>
      <w:divBdr>
        <w:top w:val="none" w:sz="0" w:space="0" w:color="auto"/>
        <w:left w:val="none" w:sz="0" w:space="0" w:color="auto"/>
        <w:bottom w:val="none" w:sz="0" w:space="0" w:color="auto"/>
        <w:right w:val="none" w:sz="0" w:space="0" w:color="auto"/>
      </w:divBdr>
    </w:div>
    <w:div w:id="415253116">
      <w:bodyDiv w:val="1"/>
      <w:marLeft w:val="0"/>
      <w:marRight w:val="0"/>
      <w:marTop w:val="0"/>
      <w:marBottom w:val="0"/>
      <w:divBdr>
        <w:top w:val="none" w:sz="0" w:space="0" w:color="auto"/>
        <w:left w:val="none" w:sz="0" w:space="0" w:color="auto"/>
        <w:bottom w:val="none" w:sz="0" w:space="0" w:color="auto"/>
        <w:right w:val="none" w:sz="0" w:space="0" w:color="auto"/>
      </w:divBdr>
      <w:divsChild>
        <w:div w:id="1618565891">
          <w:marLeft w:val="1166"/>
          <w:marRight w:val="0"/>
          <w:marTop w:val="115"/>
          <w:marBottom w:val="0"/>
          <w:divBdr>
            <w:top w:val="none" w:sz="0" w:space="0" w:color="auto"/>
            <w:left w:val="none" w:sz="0" w:space="0" w:color="auto"/>
            <w:bottom w:val="none" w:sz="0" w:space="0" w:color="auto"/>
            <w:right w:val="none" w:sz="0" w:space="0" w:color="auto"/>
          </w:divBdr>
        </w:div>
      </w:divsChild>
    </w:div>
    <w:div w:id="421142585">
      <w:bodyDiv w:val="1"/>
      <w:marLeft w:val="0"/>
      <w:marRight w:val="0"/>
      <w:marTop w:val="0"/>
      <w:marBottom w:val="0"/>
      <w:divBdr>
        <w:top w:val="none" w:sz="0" w:space="0" w:color="auto"/>
        <w:left w:val="none" w:sz="0" w:space="0" w:color="auto"/>
        <w:bottom w:val="none" w:sz="0" w:space="0" w:color="auto"/>
        <w:right w:val="none" w:sz="0" w:space="0" w:color="auto"/>
      </w:divBdr>
    </w:div>
    <w:div w:id="437993222">
      <w:bodyDiv w:val="1"/>
      <w:marLeft w:val="0"/>
      <w:marRight w:val="0"/>
      <w:marTop w:val="0"/>
      <w:marBottom w:val="0"/>
      <w:divBdr>
        <w:top w:val="none" w:sz="0" w:space="0" w:color="auto"/>
        <w:left w:val="none" w:sz="0" w:space="0" w:color="auto"/>
        <w:bottom w:val="none" w:sz="0" w:space="0" w:color="auto"/>
        <w:right w:val="none" w:sz="0" w:space="0" w:color="auto"/>
      </w:divBdr>
    </w:div>
    <w:div w:id="455372749">
      <w:bodyDiv w:val="1"/>
      <w:marLeft w:val="0"/>
      <w:marRight w:val="0"/>
      <w:marTop w:val="0"/>
      <w:marBottom w:val="0"/>
      <w:divBdr>
        <w:top w:val="none" w:sz="0" w:space="0" w:color="auto"/>
        <w:left w:val="none" w:sz="0" w:space="0" w:color="auto"/>
        <w:bottom w:val="none" w:sz="0" w:space="0" w:color="auto"/>
        <w:right w:val="none" w:sz="0" w:space="0" w:color="auto"/>
      </w:divBdr>
    </w:div>
    <w:div w:id="457727044">
      <w:bodyDiv w:val="1"/>
      <w:marLeft w:val="0"/>
      <w:marRight w:val="0"/>
      <w:marTop w:val="0"/>
      <w:marBottom w:val="0"/>
      <w:divBdr>
        <w:top w:val="none" w:sz="0" w:space="0" w:color="auto"/>
        <w:left w:val="none" w:sz="0" w:space="0" w:color="auto"/>
        <w:bottom w:val="none" w:sz="0" w:space="0" w:color="auto"/>
        <w:right w:val="none" w:sz="0" w:space="0" w:color="auto"/>
      </w:divBdr>
    </w:div>
    <w:div w:id="526214610">
      <w:bodyDiv w:val="1"/>
      <w:marLeft w:val="0"/>
      <w:marRight w:val="0"/>
      <w:marTop w:val="0"/>
      <w:marBottom w:val="0"/>
      <w:divBdr>
        <w:top w:val="none" w:sz="0" w:space="0" w:color="auto"/>
        <w:left w:val="none" w:sz="0" w:space="0" w:color="auto"/>
        <w:bottom w:val="none" w:sz="0" w:space="0" w:color="auto"/>
        <w:right w:val="none" w:sz="0" w:space="0" w:color="auto"/>
      </w:divBdr>
      <w:divsChild>
        <w:div w:id="1620409207">
          <w:marLeft w:val="1166"/>
          <w:marRight w:val="0"/>
          <w:marTop w:val="106"/>
          <w:marBottom w:val="0"/>
          <w:divBdr>
            <w:top w:val="none" w:sz="0" w:space="0" w:color="auto"/>
            <w:left w:val="none" w:sz="0" w:space="0" w:color="auto"/>
            <w:bottom w:val="none" w:sz="0" w:space="0" w:color="auto"/>
            <w:right w:val="none" w:sz="0" w:space="0" w:color="auto"/>
          </w:divBdr>
        </w:div>
      </w:divsChild>
    </w:div>
    <w:div w:id="540677763">
      <w:bodyDiv w:val="1"/>
      <w:marLeft w:val="0"/>
      <w:marRight w:val="0"/>
      <w:marTop w:val="0"/>
      <w:marBottom w:val="0"/>
      <w:divBdr>
        <w:top w:val="none" w:sz="0" w:space="0" w:color="auto"/>
        <w:left w:val="none" w:sz="0" w:space="0" w:color="auto"/>
        <w:bottom w:val="none" w:sz="0" w:space="0" w:color="auto"/>
        <w:right w:val="none" w:sz="0" w:space="0" w:color="auto"/>
      </w:divBdr>
    </w:div>
    <w:div w:id="604189999">
      <w:bodyDiv w:val="1"/>
      <w:marLeft w:val="0"/>
      <w:marRight w:val="0"/>
      <w:marTop w:val="0"/>
      <w:marBottom w:val="0"/>
      <w:divBdr>
        <w:top w:val="none" w:sz="0" w:space="0" w:color="auto"/>
        <w:left w:val="none" w:sz="0" w:space="0" w:color="auto"/>
        <w:bottom w:val="none" w:sz="0" w:space="0" w:color="auto"/>
        <w:right w:val="none" w:sz="0" w:space="0" w:color="auto"/>
      </w:divBdr>
      <w:divsChild>
        <w:div w:id="122316034">
          <w:marLeft w:val="1166"/>
          <w:marRight w:val="0"/>
          <w:marTop w:val="106"/>
          <w:marBottom w:val="0"/>
          <w:divBdr>
            <w:top w:val="none" w:sz="0" w:space="0" w:color="auto"/>
            <w:left w:val="none" w:sz="0" w:space="0" w:color="auto"/>
            <w:bottom w:val="none" w:sz="0" w:space="0" w:color="auto"/>
            <w:right w:val="none" w:sz="0" w:space="0" w:color="auto"/>
          </w:divBdr>
        </w:div>
      </w:divsChild>
    </w:div>
    <w:div w:id="654067631">
      <w:bodyDiv w:val="1"/>
      <w:marLeft w:val="0"/>
      <w:marRight w:val="0"/>
      <w:marTop w:val="0"/>
      <w:marBottom w:val="0"/>
      <w:divBdr>
        <w:top w:val="none" w:sz="0" w:space="0" w:color="auto"/>
        <w:left w:val="none" w:sz="0" w:space="0" w:color="auto"/>
        <w:bottom w:val="none" w:sz="0" w:space="0" w:color="auto"/>
        <w:right w:val="none" w:sz="0" w:space="0" w:color="auto"/>
      </w:divBdr>
    </w:div>
    <w:div w:id="691876590">
      <w:bodyDiv w:val="1"/>
      <w:marLeft w:val="0"/>
      <w:marRight w:val="0"/>
      <w:marTop w:val="0"/>
      <w:marBottom w:val="0"/>
      <w:divBdr>
        <w:top w:val="none" w:sz="0" w:space="0" w:color="auto"/>
        <w:left w:val="none" w:sz="0" w:space="0" w:color="auto"/>
        <w:bottom w:val="none" w:sz="0" w:space="0" w:color="auto"/>
        <w:right w:val="none" w:sz="0" w:space="0" w:color="auto"/>
      </w:divBdr>
    </w:div>
    <w:div w:id="716779663">
      <w:bodyDiv w:val="1"/>
      <w:marLeft w:val="0"/>
      <w:marRight w:val="0"/>
      <w:marTop w:val="0"/>
      <w:marBottom w:val="0"/>
      <w:divBdr>
        <w:top w:val="none" w:sz="0" w:space="0" w:color="auto"/>
        <w:left w:val="none" w:sz="0" w:space="0" w:color="auto"/>
        <w:bottom w:val="none" w:sz="0" w:space="0" w:color="auto"/>
        <w:right w:val="none" w:sz="0" w:space="0" w:color="auto"/>
      </w:divBdr>
      <w:divsChild>
        <w:div w:id="917518761">
          <w:marLeft w:val="1166"/>
          <w:marRight w:val="0"/>
          <w:marTop w:val="115"/>
          <w:marBottom w:val="0"/>
          <w:divBdr>
            <w:top w:val="none" w:sz="0" w:space="0" w:color="auto"/>
            <w:left w:val="none" w:sz="0" w:space="0" w:color="auto"/>
            <w:bottom w:val="none" w:sz="0" w:space="0" w:color="auto"/>
            <w:right w:val="none" w:sz="0" w:space="0" w:color="auto"/>
          </w:divBdr>
        </w:div>
      </w:divsChild>
    </w:div>
    <w:div w:id="738207786">
      <w:bodyDiv w:val="1"/>
      <w:marLeft w:val="0"/>
      <w:marRight w:val="0"/>
      <w:marTop w:val="0"/>
      <w:marBottom w:val="0"/>
      <w:divBdr>
        <w:top w:val="none" w:sz="0" w:space="0" w:color="auto"/>
        <w:left w:val="none" w:sz="0" w:space="0" w:color="auto"/>
        <w:bottom w:val="none" w:sz="0" w:space="0" w:color="auto"/>
        <w:right w:val="none" w:sz="0" w:space="0" w:color="auto"/>
      </w:divBdr>
    </w:div>
    <w:div w:id="746072214">
      <w:bodyDiv w:val="1"/>
      <w:marLeft w:val="0"/>
      <w:marRight w:val="0"/>
      <w:marTop w:val="0"/>
      <w:marBottom w:val="0"/>
      <w:divBdr>
        <w:top w:val="none" w:sz="0" w:space="0" w:color="auto"/>
        <w:left w:val="none" w:sz="0" w:space="0" w:color="auto"/>
        <w:bottom w:val="none" w:sz="0" w:space="0" w:color="auto"/>
        <w:right w:val="none" w:sz="0" w:space="0" w:color="auto"/>
      </w:divBdr>
    </w:div>
    <w:div w:id="767583620">
      <w:bodyDiv w:val="1"/>
      <w:marLeft w:val="0"/>
      <w:marRight w:val="0"/>
      <w:marTop w:val="0"/>
      <w:marBottom w:val="0"/>
      <w:divBdr>
        <w:top w:val="none" w:sz="0" w:space="0" w:color="auto"/>
        <w:left w:val="none" w:sz="0" w:space="0" w:color="auto"/>
        <w:bottom w:val="none" w:sz="0" w:space="0" w:color="auto"/>
        <w:right w:val="none" w:sz="0" w:space="0" w:color="auto"/>
      </w:divBdr>
    </w:div>
    <w:div w:id="804739269">
      <w:bodyDiv w:val="1"/>
      <w:marLeft w:val="0"/>
      <w:marRight w:val="0"/>
      <w:marTop w:val="0"/>
      <w:marBottom w:val="0"/>
      <w:divBdr>
        <w:top w:val="none" w:sz="0" w:space="0" w:color="auto"/>
        <w:left w:val="none" w:sz="0" w:space="0" w:color="auto"/>
        <w:bottom w:val="none" w:sz="0" w:space="0" w:color="auto"/>
        <w:right w:val="none" w:sz="0" w:space="0" w:color="auto"/>
      </w:divBdr>
    </w:div>
    <w:div w:id="906380795">
      <w:bodyDiv w:val="1"/>
      <w:marLeft w:val="0"/>
      <w:marRight w:val="0"/>
      <w:marTop w:val="0"/>
      <w:marBottom w:val="0"/>
      <w:divBdr>
        <w:top w:val="none" w:sz="0" w:space="0" w:color="auto"/>
        <w:left w:val="none" w:sz="0" w:space="0" w:color="auto"/>
        <w:bottom w:val="none" w:sz="0" w:space="0" w:color="auto"/>
        <w:right w:val="none" w:sz="0" w:space="0" w:color="auto"/>
      </w:divBdr>
    </w:div>
    <w:div w:id="969437595">
      <w:bodyDiv w:val="1"/>
      <w:marLeft w:val="0"/>
      <w:marRight w:val="0"/>
      <w:marTop w:val="0"/>
      <w:marBottom w:val="0"/>
      <w:divBdr>
        <w:top w:val="none" w:sz="0" w:space="0" w:color="auto"/>
        <w:left w:val="none" w:sz="0" w:space="0" w:color="auto"/>
        <w:bottom w:val="none" w:sz="0" w:space="0" w:color="auto"/>
        <w:right w:val="none" w:sz="0" w:space="0" w:color="auto"/>
      </w:divBdr>
    </w:div>
    <w:div w:id="1031537154">
      <w:bodyDiv w:val="1"/>
      <w:marLeft w:val="0"/>
      <w:marRight w:val="0"/>
      <w:marTop w:val="0"/>
      <w:marBottom w:val="0"/>
      <w:divBdr>
        <w:top w:val="none" w:sz="0" w:space="0" w:color="auto"/>
        <w:left w:val="none" w:sz="0" w:space="0" w:color="auto"/>
        <w:bottom w:val="none" w:sz="0" w:space="0" w:color="auto"/>
        <w:right w:val="none" w:sz="0" w:space="0" w:color="auto"/>
      </w:divBdr>
      <w:divsChild>
        <w:div w:id="578758307">
          <w:marLeft w:val="1166"/>
          <w:marRight w:val="0"/>
          <w:marTop w:val="106"/>
          <w:marBottom w:val="0"/>
          <w:divBdr>
            <w:top w:val="none" w:sz="0" w:space="0" w:color="auto"/>
            <w:left w:val="none" w:sz="0" w:space="0" w:color="auto"/>
            <w:bottom w:val="none" w:sz="0" w:space="0" w:color="auto"/>
            <w:right w:val="none" w:sz="0" w:space="0" w:color="auto"/>
          </w:divBdr>
        </w:div>
      </w:divsChild>
    </w:div>
    <w:div w:id="1066144754">
      <w:bodyDiv w:val="1"/>
      <w:marLeft w:val="0"/>
      <w:marRight w:val="0"/>
      <w:marTop w:val="0"/>
      <w:marBottom w:val="0"/>
      <w:divBdr>
        <w:top w:val="none" w:sz="0" w:space="0" w:color="auto"/>
        <w:left w:val="none" w:sz="0" w:space="0" w:color="auto"/>
        <w:bottom w:val="none" w:sz="0" w:space="0" w:color="auto"/>
        <w:right w:val="none" w:sz="0" w:space="0" w:color="auto"/>
      </w:divBdr>
      <w:divsChild>
        <w:div w:id="1165706123">
          <w:marLeft w:val="1166"/>
          <w:marRight w:val="0"/>
          <w:marTop w:val="115"/>
          <w:marBottom w:val="0"/>
          <w:divBdr>
            <w:top w:val="none" w:sz="0" w:space="0" w:color="auto"/>
            <w:left w:val="none" w:sz="0" w:space="0" w:color="auto"/>
            <w:bottom w:val="none" w:sz="0" w:space="0" w:color="auto"/>
            <w:right w:val="none" w:sz="0" w:space="0" w:color="auto"/>
          </w:divBdr>
        </w:div>
      </w:divsChild>
    </w:div>
    <w:div w:id="1070343765">
      <w:bodyDiv w:val="1"/>
      <w:marLeft w:val="0"/>
      <w:marRight w:val="0"/>
      <w:marTop w:val="0"/>
      <w:marBottom w:val="0"/>
      <w:divBdr>
        <w:top w:val="none" w:sz="0" w:space="0" w:color="auto"/>
        <w:left w:val="none" w:sz="0" w:space="0" w:color="auto"/>
        <w:bottom w:val="none" w:sz="0" w:space="0" w:color="auto"/>
        <w:right w:val="none" w:sz="0" w:space="0" w:color="auto"/>
      </w:divBdr>
    </w:div>
    <w:div w:id="1124159717">
      <w:bodyDiv w:val="1"/>
      <w:marLeft w:val="0"/>
      <w:marRight w:val="0"/>
      <w:marTop w:val="0"/>
      <w:marBottom w:val="0"/>
      <w:divBdr>
        <w:top w:val="none" w:sz="0" w:space="0" w:color="auto"/>
        <w:left w:val="none" w:sz="0" w:space="0" w:color="auto"/>
        <w:bottom w:val="none" w:sz="0" w:space="0" w:color="auto"/>
        <w:right w:val="none" w:sz="0" w:space="0" w:color="auto"/>
      </w:divBdr>
    </w:div>
    <w:div w:id="1443381263">
      <w:bodyDiv w:val="1"/>
      <w:marLeft w:val="0"/>
      <w:marRight w:val="0"/>
      <w:marTop w:val="0"/>
      <w:marBottom w:val="0"/>
      <w:divBdr>
        <w:top w:val="none" w:sz="0" w:space="0" w:color="auto"/>
        <w:left w:val="none" w:sz="0" w:space="0" w:color="auto"/>
        <w:bottom w:val="none" w:sz="0" w:space="0" w:color="auto"/>
        <w:right w:val="none" w:sz="0" w:space="0" w:color="auto"/>
      </w:divBdr>
    </w:div>
    <w:div w:id="1512598440">
      <w:bodyDiv w:val="1"/>
      <w:marLeft w:val="0"/>
      <w:marRight w:val="0"/>
      <w:marTop w:val="0"/>
      <w:marBottom w:val="0"/>
      <w:divBdr>
        <w:top w:val="none" w:sz="0" w:space="0" w:color="auto"/>
        <w:left w:val="none" w:sz="0" w:space="0" w:color="auto"/>
        <w:bottom w:val="none" w:sz="0" w:space="0" w:color="auto"/>
        <w:right w:val="none" w:sz="0" w:space="0" w:color="auto"/>
      </w:divBdr>
    </w:div>
    <w:div w:id="1574705036">
      <w:bodyDiv w:val="1"/>
      <w:marLeft w:val="0"/>
      <w:marRight w:val="0"/>
      <w:marTop w:val="0"/>
      <w:marBottom w:val="0"/>
      <w:divBdr>
        <w:top w:val="none" w:sz="0" w:space="0" w:color="auto"/>
        <w:left w:val="none" w:sz="0" w:space="0" w:color="auto"/>
        <w:bottom w:val="none" w:sz="0" w:space="0" w:color="auto"/>
        <w:right w:val="none" w:sz="0" w:space="0" w:color="auto"/>
      </w:divBdr>
    </w:div>
    <w:div w:id="1596937519">
      <w:bodyDiv w:val="1"/>
      <w:marLeft w:val="0"/>
      <w:marRight w:val="0"/>
      <w:marTop w:val="0"/>
      <w:marBottom w:val="0"/>
      <w:divBdr>
        <w:top w:val="none" w:sz="0" w:space="0" w:color="auto"/>
        <w:left w:val="none" w:sz="0" w:space="0" w:color="auto"/>
        <w:bottom w:val="none" w:sz="0" w:space="0" w:color="auto"/>
        <w:right w:val="none" w:sz="0" w:space="0" w:color="auto"/>
      </w:divBdr>
    </w:div>
    <w:div w:id="1706636977">
      <w:bodyDiv w:val="1"/>
      <w:marLeft w:val="0"/>
      <w:marRight w:val="0"/>
      <w:marTop w:val="0"/>
      <w:marBottom w:val="0"/>
      <w:divBdr>
        <w:top w:val="none" w:sz="0" w:space="0" w:color="auto"/>
        <w:left w:val="none" w:sz="0" w:space="0" w:color="auto"/>
        <w:bottom w:val="none" w:sz="0" w:space="0" w:color="auto"/>
        <w:right w:val="none" w:sz="0" w:space="0" w:color="auto"/>
      </w:divBdr>
    </w:div>
    <w:div w:id="1712076869">
      <w:bodyDiv w:val="1"/>
      <w:marLeft w:val="0"/>
      <w:marRight w:val="0"/>
      <w:marTop w:val="0"/>
      <w:marBottom w:val="0"/>
      <w:divBdr>
        <w:top w:val="none" w:sz="0" w:space="0" w:color="auto"/>
        <w:left w:val="none" w:sz="0" w:space="0" w:color="auto"/>
        <w:bottom w:val="none" w:sz="0" w:space="0" w:color="auto"/>
        <w:right w:val="none" w:sz="0" w:space="0" w:color="auto"/>
      </w:divBdr>
    </w:div>
    <w:div w:id="1859198439">
      <w:bodyDiv w:val="1"/>
      <w:marLeft w:val="0"/>
      <w:marRight w:val="0"/>
      <w:marTop w:val="0"/>
      <w:marBottom w:val="0"/>
      <w:divBdr>
        <w:top w:val="none" w:sz="0" w:space="0" w:color="auto"/>
        <w:left w:val="none" w:sz="0" w:space="0" w:color="auto"/>
        <w:bottom w:val="none" w:sz="0" w:space="0" w:color="auto"/>
        <w:right w:val="none" w:sz="0" w:space="0" w:color="auto"/>
      </w:divBdr>
    </w:div>
    <w:div w:id="1863594877">
      <w:bodyDiv w:val="1"/>
      <w:marLeft w:val="0"/>
      <w:marRight w:val="0"/>
      <w:marTop w:val="0"/>
      <w:marBottom w:val="0"/>
      <w:divBdr>
        <w:top w:val="none" w:sz="0" w:space="0" w:color="auto"/>
        <w:left w:val="none" w:sz="0" w:space="0" w:color="auto"/>
        <w:bottom w:val="none" w:sz="0" w:space="0" w:color="auto"/>
        <w:right w:val="none" w:sz="0" w:space="0" w:color="auto"/>
      </w:divBdr>
    </w:div>
    <w:div w:id="1866559783">
      <w:bodyDiv w:val="1"/>
      <w:marLeft w:val="0"/>
      <w:marRight w:val="0"/>
      <w:marTop w:val="0"/>
      <w:marBottom w:val="0"/>
      <w:divBdr>
        <w:top w:val="none" w:sz="0" w:space="0" w:color="auto"/>
        <w:left w:val="none" w:sz="0" w:space="0" w:color="auto"/>
        <w:bottom w:val="none" w:sz="0" w:space="0" w:color="auto"/>
        <w:right w:val="none" w:sz="0" w:space="0" w:color="auto"/>
      </w:divBdr>
    </w:div>
    <w:div w:id="1879925046">
      <w:bodyDiv w:val="1"/>
      <w:marLeft w:val="0"/>
      <w:marRight w:val="0"/>
      <w:marTop w:val="0"/>
      <w:marBottom w:val="0"/>
      <w:divBdr>
        <w:top w:val="none" w:sz="0" w:space="0" w:color="auto"/>
        <w:left w:val="none" w:sz="0" w:space="0" w:color="auto"/>
        <w:bottom w:val="none" w:sz="0" w:space="0" w:color="auto"/>
        <w:right w:val="none" w:sz="0" w:space="0" w:color="auto"/>
      </w:divBdr>
    </w:div>
    <w:div w:id="1950551165">
      <w:bodyDiv w:val="1"/>
      <w:marLeft w:val="0"/>
      <w:marRight w:val="0"/>
      <w:marTop w:val="0"/>
      <w:marBottom w:val="0"/>
      <w:divBdr>
        <w:top w:val="none" w:sz="0" w:space="0" w:color="auto"/>
        <w:left w:val="none" w:sz="0" w:space="0" w:color="auto"/>
        <w:bottom w:val="none" w:sz="0" w:space="0" w:color="auto"/>
        <w:right w:val="none" w:sz="0" w:space="0" w:color="auto"/>
      </w:divBdr>
      <w:divsChild>
        <w:div w:id="725639781">
          <w:marLeft w:val="1166"/>
          <w:marRight w:val="0"/>
          <w:marTop w:val="115"/>
          <w:marBottom w:val="0"/>
          <w:divBdr>
            <w:top w:val="none" w:sz="0" w:space="0" w:color="auto"/>
            <w:left w:val="none" w:sz="0" w:space="0" w:color="auto"/>
            <w:bottom w:val="none" w:sz="0" w:space="0" w:color="auto"/>
            <w:right w:val="none" w:sz="0" w:space="0" w:color="auto"/>
          </w:divBdr>
        </w:div>
      </w:divsChild>
    </w:div>
    <w:div w:id="2054693393">
      <w:bodyDiv w:val="1"/>
      <w:marLeft w:val="0"/>
      <w:marRight w:val="0"/>
      <w:marTop w:val="0"/>
      <w:marBottom w:val="0"/>
      <w:divBdr>
        <w:top w:val="none" w:sz="0" w:space="0" w:color="auto"/>
        <w:left w:val="none" w:sz="0" w:space="0" w:color="auto"/>
        <w:bottom w:val="none" w:sz="0" w:space="0" w:color="auto"/>
        <w:right w:val="none" w:sz="0" w:space="0" w:color="auto"/>
      </w:divBdr>
      <w:divsChild>
        <w:div w:id="1623000408">
          <w:marLeft w:val="1166"/>
          <w:marRight w:val="0"/>
          <w:marTop w:val="125"/>
          <w:marBottom w:val="0"/>
          <w:divBdr>
            <w:top w:val="none" w:sz="0" w:space="0" w:color="auto"/>
            <w:left w:val="none" w:sz="0" w:space="0" w:color="auto"/>
            <w:bottom w:val="none" w:sz="0" w:space="0" w:color="auto"/>
            <w:right w:val="none" w:sz="0" w:space="0" w:color="auto"/>
          </w:divBdr>
        </w:div>
      </w:divsChild>
    </w:div>
    <w:div w:id="2055035322">
      <w:bodyDiv w:val="1"/>
      <w:marLeft w:val="0"/>
      <w:marRight w:val="0"/>
      <w:marTop w:val="0"/>
      <w:marBottom w:val="0"/>
      <w:divBdr>
        <w:top w:val="none" w:sz="0" w:space="0" w:color="auto"/>
        <w:left w:val="none" w:sz="0" w:space="0" w:color="auto"/>
        <w:bottom w:val="none" w:sz="0" w:space="0" w:color="auto"/>
        <w:right w:val="none" w:sz="0" w:space="0" w:color="auto"/>
      </w:divBdr>
    </w:div>
    <w:div w:id="20788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75C2-B756-4056-AAAE-3961E357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葉冠伸</dc:creator>
  <cp:lastModifiedBy>陳亭瑋</cp:lastModifiedBy>
  <cp:revision>7</cp:revision>
  <cp:lastPrinted>2019-07-03T06:41:00Z</cp:lastPrinted>
  <dcterms:created xsi:type="dcterms:W3CDTF">2019-11-01T02:41:00Z</dcterms:created>
  <dcterms:modified xsi:type="dcterms:W3CDTF">2019-11-06T08:06:00Z</dcterms:modified>
</cp:coreProperties>
</file>