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460" w:before="0" w:after="180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財政部優質酒類認證作業要點第九點、第十七點、第十九點修正規定</w:t>
      </w:r>
    </w:p>
    <w:p>
      <w:pPr>
        <w:pStyle w:val="Style18"/>
        <w:spacing w:lineRule="exact" w:line="460"/>
        <w:ind w:left="616" w:right="0" w:hanging="616"/>
        <w:jc w:val="both"/>
        <w:rPr/>
      </w:pPr>
      <w:r>
        <w:rPr>
          <w:rStyle w:val="Style14"/>
          <w:rFonts w:ascii="Times New Roman" w:hAnsi="Times New Roman" w:eastAsia="標楷體"/>
          <w:sz w:val="28"/>
          <w:szCs w:val="24"/>
        </w:rPr>
        <w:t>九、申請酒品認證之業者，經技術委員會審議通過且經本部核定者，應於其與執行機關構簽訂合約書之日起，於已認證酒品容器標籤上使用本標誌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18"/>
        <w:spacing w:lineRule="exact" w:line="460"/>
        <w:ind w:left="574" w:right="0" w:firstLine="574"/>
        <w:jc w:val="both"/>
        <w:rPr/>
      </w:pPr>
      <w:r>
        <w:rPr>
          <w:rStyle w:val="Style14"/>
          <w:rFonts w:ascii="Times New Roman" w:hAnsi="Times New Roman" w:eastAsia="標楷體"/>
          <w:sz w:val="28"/>
          <w:szCs w:val="24"/>
        </w:rPr>
        <w:t>前項合約書之有效期間，自簽約之日起至當年度十二月三十一日止，期滿自動終止，雙方如有意續約，應另行簽訂之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18"/>
        <w:spacing w:lineRule="exact" w:line="460"/>
        <w:ind w:left="574" w:right="0" w:firstLine="574"/>
        <w:jc w:val="both"/>
        <w:rPr/>
      </w:pPr>
      <w:r>
        <w:rPr>
          <w:rStyle w:val="Style14"/>
          <w:rFonts w:ascii="Times New Roman" w:hAnsi="Times New Roman" w:eastAsia="標楷體"/>
          <w:sz w:val="28"/>
          <w:szCs w:val="24"/>
        </w:rPr>
        <w:t>酒品通過認證前之舊標籤得繼續使用，最長不得超過簽約之日起六個月。但有正當理由者，應於期間屆滿前三十日內向執行機關構提出申請，由本部核定後始得展延，展延期限不得超過九個月，並以一次為限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18"/>
        <w:spacing w:lineRule="exact" w:line="460"/>
        <w:ind w:left="574" w:right="0" w:firstLine="574"/>
        <w:jc w:val="both"/>
        <w:rPr/>
      </w:pPr>
      <w:r>
        <w:rPr>
          <w:rStyle w:val="Style14"/>
          <w:rFonts w:ascii="Times New Roman" w:hAnsi="Times New Roman" w:eastAsia="標楷體"/>
          <w:sz w:val="28"/>
          <w:szCs w:val="24"/>
        </w:rPr>
        <w:t>認證酒品未依規定使用本標誌者，得由執行機關構備齊相關資料，提報技術委員會審議通過，由本部核定廢止該酒品之認證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18"/>
        <w:spacing w:lineRule="exact" w:line="460"/>
        <w:ind w:left="868" w:right="0" w:hanging="868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十七、已認證酒品之酒製造業者，其認證廠線所有認證酒品均已廢止認證，即喪失該廠線之認證資格，於廢止認證資格通知文到之日起一年內，不得就同一廠線及所產製酒品申請認證。</w:t>
      </w:r>
    </w:p>
    <w:p>
      <w:pPr>
        <w:pStyle w:val="Style18"/>
        <w:spacing w:lineRule="exact" w:line="460"/>
        <w:ind w:left="851" w:right="0" w:hanging="851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十九、已認證廠線或其酒品，提前終止合約或於合約終止後未續約，應於合約終止日起立即停止使用本標誌，並函知執行機關構該認證    酒品庫存之包裝容器數量及酒品數量，及提供印有本標誌之剩餘包裝容器銷毀或處置證明文件。</w:t>
      </w:r>
    </w:p>
    <w:p>
      <w:pPr>
        <w:pStyle w:val="Style18"/>
        <w:spacing w:lineRule="exact" w:line="460"/>
        <w:ind w:left="840" w:right="0" w:firstLine="588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已認證酒品之酒製造業者經本部依第十五點、第十六點或第十八點規定廢止認證資格者，應自廢止之日起停止使用本標誌。</w:t>
      </w:r>
    </w:p>
    <w:p>
      <w:pPr>
        <w:pStyle w:val="Style18"/>
        <w:spacing w:lineRule="exact" w:line="460"/>
        <w:ind w:left="840" w:right="0" w:firstLine="588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違反第一項或第二項規定者，除限期回收其於喪失使用本標誌權利後出貨且印有本標誌之酒品外，本部將依法追究並透過大眾傳播媒體公布業者及酒品名稱。</w:t>
      </w:r>
    </w:p>
    <w:p>
      <w:pPr>
        <w:pStyle w:val="Style18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1418" w:header="0" w:top="851" w:footer="992" w:bottom="1418" w:gutter="0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WWCharLFO3LVL2">
    <w:name w:val="WW_CharLFO3LVL2"/>
    <w:qFormat/>
    <w:rPr>
      <w:b w:val="false"/>
      <w:u w:val="none"/>
    </w:rPr>
  </w:style>
  <w:style w:type="character" w:styleId="WWCharLFO4LVL1">
    <w:name w:val="WW_CharLFO4LVL1"/>
    <w:qFormat/>
    <w:rPr>
      <w:color w:val="FF0000"/>
      <w:u w:val="single"/>
    </w:rPr>
  </w:style>
  <w:style w:type="character" w:styleId="WWCharLFO7LVL1">
    <w:name w:val="WW_CharLFO7LVL1"/>
    <w:qFormat/>
    <w:rPr>
      <w:rFonts w:ascii="標楷體" w:hAnsi="標楷體" w:eastAsia="標楷體"/>
    </w:rPr>
  </w:style>
  <w:style w:type="character" w:styleId="WWCharLFO18LVL1">
    <w:name w:val="WW_CharLFO18LVL1"/>
    <w:qFormat/>
    <w:rPr>
      <w:rFonts w:ascii="標楷體" w:hAnsi="標楷體" w:eastAsia="標楷體"/>
    </w:rPr>
  </w:style>
  <w:style w:type="character" w:styleId="WWCharLFO20LVL1">
    <w:name w:val="WW_CharLFO20LVL1"/>
    <w:qFormat/>
    <w:rPr>
      <w:u w:val="single"/>
    </w:rPr>
  </w:style>
  <w:style w:type="character" w:styleId="WWCharLFO21LVL1">
    <w:name w:val="WW_CharLFO21LVL1"/>
    <w:qFormat/>
    <w:rPr>
      <w:u w:val="single"/>
    </w:rPr>
  </w:style>
  <w:style w:type="paragraph" w:styleId="Style18">
    <w:name w:val="Body Text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Default">
    <w:name w:val="Default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cs="標楷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無間距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公文(後續段落)"/>
    <w:basedOn w:val="Style18"/>
    <w:qFormat/>
    <w:pPr>
      <w:suppressAutoHyphens w:val="true"/>
      <w:spacing w:lineRule="exact" w:line="500"/>
      <w:ind w:left="317" w:right="0" w:hanging="0"/>
    </w:pPr>
    <w:rPr>
      <w:rFonts w:ascii="Times New Roman" w:hAnsi="Times New Roman" w:eastAsia="標楷體"/>
      <w:sz w:val="32"/>
      <w:szCs w:val="24"/>
    </w:rPr>
  </w:style>
  <w:style w:type="paragraph" w:styleId="Style21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Web">
    <w:name w:val="內文 (Web)"/>
    <w:basedOn w:val="Style18"/>
    <w:qFormat/>
    <w:pPr>
      <w:suppressAutoHyphens w:val="true"/>
      <w:spacing w:before="100" w:after="100"/>
    </w:pPr>
    <w:rPr>
      <w:rFonts w:ascii="新細明體" w:hAnsi="新細明體" w:cs="新細明體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600</Words>
  <Characters>600</Characters>
  <CharactersWithSpaces>604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2019-07-24T06:20:00Z</dcterms:created>
  <dc:creator>ykf</dc:creator>
  <dc:description/>
  <dc:language>zh-TW</dc:language>
  <cp:lastModifiedBy/>
  <cp:lastPrinted>2015-01-22T02:46:00Z</cp:lastPrinted>
  <dcterms:modified xsi:type="dcterms:W3CDTF">2019-07-29T13:46:55Z</dcterms:modified>
  <cp:revision>3</cp:revision>
  <dc:subject/>
  <dc:title>菸酒查緝及檢舉案件處理作業要點部分規定修正條文對照表</dc:title>
</cp:coreProperties>
</file>