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45" w:rsidRPr="00F27490" w:rsidRDefault="000C37E3" w:rsidP="000C37E3">
      <w:pPr>
        <w:jc w:val="center"/>
        <w:rPr>
          <w:rFonts w:ascii="標楷體" w:eastAsia="標楷體" w:hAnsi="標楷體"/>
          <w:sz w:val="36"/>
          <w:szCs w:val="36"/>
        </w:rPr>
      </w:pPr>
      <w:r w:rsidRPr="00F27490">
        <w:rPr>
          <w:rFonts w:ascii="標楷體" w:eastAsia="標楷體" w:hAnsi="標楷體" w:hint="eastAsia"/>
          <w:sz w:val="36"/>
          <w:szCs w:val="36"/>
        </w:rPr>
        <w:t>新竹縣都市設計管制要點查核表</w:t>
      </w:r>
    </w:p>
    <w:tbl>
      <w:tblPr>
        <w:tblStyle w:val="a3"/>
        <w:tblW w:w="0" w:type="auto"/>
        <w:tblInd w:w="-147" w:type="dxa"/>
        <w:tblLook w:val="04A0" w:firstRow="1" w:lastRow="0" w:firstColumn="1" w:lastColumn="0" w:noHBand="0" w:noVBand="1"/>
      </w:tblPr>
      <w:tblGrid>
        <w:gridCol w:w="1276"/>
        <w:gridCol w:w="2179"/>
        <w:gridCol w:w="798"/>
        <w:gridCol w:w="2693"/>
        <w:gridCol w:w="1276"/>
        <w:gridCol w:w="709"/>
        <w:gridCol w:w="992"/>
        <w:gridCol w:w="1418"/>
        <w:gridCol w:w="850"/>
        <w:gridCol w:w="71"/>
        <w:gridCol w:w="921"/>
        <w:gridCol w:w="1418"/>
      </w:tblGrid>
      <w:tr w:rsidR="000C37E3" w:rsidRPr="000C37E3" w:rsidTr="007C6173">
        <w:trPr>
          <w:trHeight w:val="510"/>
        </w:trPr>
        <w:tc>
          <w:tcPr>
            <w:tcW w:w="1276" w:type="dxa"/>
            <w:vAlign w:val="center"/>
          </w:tcPr>
          <w:p w:rsidR="000C37E3" w:rsidRPr="000C37E3" w:rsidRDefault="000C37E3" w:rsidP="00EC7316">
            <w:pPr>
              <w:jc w:val="center"/>
              <w:rPr>
                <w:rFonts w:ascii="標楷體" w:eastAsia="標楷體" w:hAnsi="標楷體"/>
              </w:rPr>
            </w:pPr>
            <w:proofErr w:type="gramStart"/>
            <w:r w:rsidRPr="000C37E3">
              <w:rPr>
                <w:rFonts w:ascii="標楷體" w:eastAsia="標楷體" w:hAnsi="標楷體" w:hint="eastAsia"/>
              </w:rPr>
              <w:t>案名</w:t>
            </w:r>
            <w:proofErr w:type="gramEnd"/>
          </w:p>
        </w:tc>
        <w:tc>
          <w:tcPr>
            <w:tcW w:w="5670" w:type="dxa"/>
            <w:gridSpan w:val="3"/>
            <w:vAlign w:val="center"/>
          </w:tcPr>
          <w:p w:rsidR="000C37E3" w:rsidRPr="000C37E3" w:rsidRDefault="000C37E3" w:rsidP="00EC7316">
            <w:pPr>
              <w:jc w:val="center"/>
              <w:rPr>
                <w:rFonts w:ascii="標楷體" w:eastAsia="標楷體" w:hAnsi="標楷體"/>
              </w:rPr>
            </w:pPr>
          </w:p>
        </w:tc>
        <w:tc>
          <w:tcPr>
            <w:tcW w:w="1276"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地號</w:t>
            </w:r>
          </w:p>
        </w:tc>
        <w:tc>
          <w:tcPr>
            <w:tcW w:w="6379" w:type="dxa"/>
            <w:gridSpan w:val="7"/>
            <w:vAlign w:val="center"/>
          </w:tcPr>
          <w:p w:rsidR="000C37E3" w:rsidRPr="000C37E3" w:rsidRDefault="000C37E3" w:rsidP="00EC7316">
            <w:pPr>
              <w:jc w:val="center"/>
              <w:rPr>
                <w:rFonts w:ascii="標楷體" w:eastAsia="標楷體" w:hAnsi="標楷體"/>
              </w:rPr>
            </w:pPr>
          </w:p>
        </w:tc>
      </w:tr>
      <w:tr w:rsidR="000C37E3" w:rsidRPr="000C37E3" w:rsidTr="007C6173">
        <w:trPr>
          <w:trHeight w:val="510"/>
        </w:trPr>
        <w:tc>
          <w:tcPr>
            <w:tcW w:w="1276"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申請人</w:t>
            </w:r>
          </w:p>
        </w:tc>
        <w:tc>
          <w:tcPr>
            <w:tcW w:w="2179" w:type="dxa"/>
            <w:vAlign w:val="center"/>
          </w:tcPr>
          <w:p w:rsidR="000C37E3" w:rsidRPr="000C37E3" w:rsidRDefault="000C37E3" w:rsidP="00EC7316">
            <w:pPr>
              <w:jc w:val="center"/>
              <w:rPr>
                <w:rFonts w:ascii="標楷體" w:eastAsia="標楷體" w:hAnsi="標楷體"/>
              </w:rPr>
            </w:pPr>
          </w:p>
        </w:tc>
        <w:tc>
          <w:tcPr>
            <w:tcW w:w="798"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地址</w:t>
            </w:r>
          </w:p>
        </w:tc>
        <w:tc>
          <w:tcPr>
            <w:tcW w:w="3969" w:type="dxa"/>
            <w:gridSpan w:val="2"/>
            <w:vAlign w:val="center"/>
          </w:tcPr>
          <w:p w:rsidR="000C37E3" w:rsidRPr="000C37E3" w:rsidRDefault="000C37E3" w:rsidP="00EC7316">
            <w:pPr>
              <w:jc w:val="center"/>
              <w:rPr>
                <w:rFonts w:ascii="標楷體" w:eastAsia="標楷體" w:hAnsi="標楷體"/>
              </w:rPr>
            </w:pPr>
          </w:p>
        </w:tc>
        <w:tc>
          <w:tcPr>
            <w:tcW w:w="709"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電話</w:t>
            </w:r>
          </w:p>
        </w:tc>
        <w:tc>
          <w:tcPr>
            <w:tcW w:w="2410" w:type="dxa"/>
            <w:gridSpan w:val="2"/>
            <w:vAlign w:val="center"/>
          </w:tcPr>
          <w:p w:rsidR="000C37E3" w:rsidRPr="000C37E3" w:rsidRDefault="000C37E3" w:rsidP="00EC7316">
            <w:pPr>
              <w:jc w:val="center"/>
              <w:rPr>
                <w:rFonts w:ascii="標楷體" w:eastAsia="標楷體" w:hAnsi="標楷體"/>
              </w:rPr>
            </w:pPr>
          </w:p>
        </w:tc>
        <w:tc>
          <w:tcPr>
            <w:tcW w:w="850"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傳真</w:t>
            </w:r>
          </w:p>
        </w:tc>
        <w:tc>
          <w:tcPr>
            <w:tcW w:w="2410" w:type="dxa"/>
            <w:gridSpan w:val="3"/>
            <w:vAlign w:val="center"/>
          </w:tcPr>
          <w:p w:rsidR="000C37E3" w:rsidRPr="000C37E3" w:rsidRDefault="000C37E3" w:rsidP="00EC7316">
            <w:pPr>
              <w:jc w:val="center"/>
              <w:rPr>
                <w:rFonts w:ascii="標楷體" w:eastAsia="標楷體" w:hAnsi="標楷體"/>
              </w:rPr>
            </w:pPr>
          </w:p>
        </w:tc>
      </w:tr>
      <w:tr w:rsidR="000C37E3" w:rsidRPr="000C37E3" w:rsidTr="007C6173">
        <w:trPr>
          <w:trHeight w:val="510"/>
        </w:trPr>
        <w:tc>
          <w:tcPr>
            <w:tcW w:w="1276"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設計人</w:t>
            </w:r>
          </w:p>
        </w:tc>
        <w:tc>
          <w:tcPr>
            <w:tcW w:w="2179" w:type="dxa"/>
            <w:vAlign w:val="center"/>
          </w:tcPr>
          <w:p w:rsidR="000C37E3" w:rsidRPr="000C37E3" w:rsidRDefault="000C37E3" w:rsidP="00EC7316">
            <w:pPr>
              <w:jc w:val="center"/>
              <w:rPr>
                <w:rFonts w:ascii="標楷體" w:eastAsia="標楷體" w:hAnsi="標楷體"/>
              </w:rPr>
            </w:pPr>
          </w:p>
        </w:tc>
        <w:tc>
          <w:tcPr>
            <w:tcW w:w="798"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地址</w:t>
            </w:r>
          </w:p>
        </w:tc>
        <w:tc>
          <w:tcPr>
            <w:tcW w:w="3969" w:type="dxa"/>
            <w:gridSpan w:val="2"/>
            <w:vAlign w:val="center"/>
          </w:tcPr>
          <w:p w:rsidR="000C37E3" w:rsidRPr="000C37E3" w:rsidRDefault="000C37E3" w:rsidP="00EC7316">
            <w:pPr>
              <w:jc w:val="center"/>
              <w:rPr>
                <w:rFonts w:ascii="標楷體" w:eastAsia="標楷體" w:hAnsi="標楷體"/>
              </w:rPr>
            </w:pPr>
          </w:p>
        </w:tc>
        <w:tc>
          <w:tcPr>
            <w:tcW w:w="709"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電話</w:t>
            </w:r>
          </w:p>
        </w:tc>
        <w:tc>
          <w:tcPr>
            <w:tcW w:w="2410" w:type="dxa"/>
            <w:gridSpan w:val="2"/>
            <w:vAlign w:val="center"/>
          </w:tcPr>
          <w:p w:rsidR="000C37E3" w:rsidRPr="000C37E3" w:rsidRDefault="000C37E3" w:rsidP="00EC7316">
            <w:pPr>
              <w:jc w:val="center"/>
              <w:rPr>
                <w:rFonts w:ascii="標楷體" w:eastAsia="標楷體" w:hAnsi="標楷體"/>
              </w:rPr>
            </w:pPr>
          </w:p>
        </w:tc>
        <w:tc>
          <w:tcPr>
            <w:tcW w:w="850"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傳真</w:t>
            </w:r>
          </w:p>
        </w:tc>
        <w:tc>
          <w:tcPr>
            <w:tcW w:w="2410" w:type="dxa"/>
            <w:gridSpan w:val="3"/>
            <w:vAlign w:val="center"/>
          </w:tcPr>
          <w:p w:rsidR="000C37E3" w:rsidRPr="000C37E3" w:rsidRDefault="000C37E3" w:rsidP="00EC7316">
            <w:pPr>
              <w:jc w:val="center"/>
              <w:rPr>
                <w:rFonts w:ascii="標楷體" w:eastAsia="標楷體" w:hAnsi="標楷體"/>
              </w:rPr>
            </w:pPr>
          </w:p>
        </w:tc>
      </w:tr>
      <w:tr w:rsidR="000C37E3" w:rsidRPr="000C37E3" w:rsidTr="00EC7316">
        <w:trPr>
          <w:trHeight w:val="878"/>
        </w:trPr>
        <w:tc>
          <w:tcPr>
            <w:tcW w:w="1276" w:type="dxa"/>
            <w:vAlign w:val="center"/>
          </w:tcPr>
          <w:p w:rsidR="000C37E3" w:rsidRPr="000C37E3" w:rsidRDefault="000C37E3" w:rsidP="00EC7316">
            <w:pPr>
              <w:jc w:val="center"/>
              <w:rPr>
                <w:rFonts w:ascii="標楷體" w:eastAsia="標楷體" w:hAnsi="標楷體"/>
              </w:rPr>
            </w:pPr>
            <w:r w:rsidRPr="000C37E3">
              <w:rPr>
                <w:rFonts w:ascii="標楷體" w:eastAsia="標楷體" w:hAnsi="標楷體" w:hint="eastAsia"/>
              </w:rPr>
              <w:t>依循管制要點名稱</w:t>
            </w:r>
          </w:p>
        </w:tc>
        <w:tc>
          <w:tcPr>
            <w:tcW w:w="13325" w:type="dxa"/>
            <w:gridSpan w:val="11"/>
            <w:vAlign w:val="center"/>
          </w:tcPr>
          <w:p w:rsidR="000C37E3" w:rsidRPr="00EC7316" w:rsidRDefault="00575EB8" w:rsidP="000C37E3">
            <w:pPr>
              <w:jc w:val="both"/>
              <w:rPr>
                <w:rFonts w:ascii="標楷體" w:eastAsia="標楷體" w:hAnsi="標楷體"/>
                <w:b/>
              </w:rPr>
            </w:pPr>
            <w:r>
              <w:rPr>
                <w:rFonts w:ascii="標楷體" w:eastAsia="標楷體" w:hAnsi="標楷體" w:hint="eastAsia"/>
                <w:b/>
              </w:rPr>
              <w:t>擬定</w:t>
            </w:r>
            <w:r w:rsidR="009A46C9" w:rsidRPr="00EC7316">
              <w:rPr>
                <w:rFonts w:ascii="標楷體" w:eastAsia="標楷體" w:hAnsi="標楷體" w:hint="eastAsia"/>
                <w:b/>
              </w:rPr>
              <w:t>竹東都市計畫(部分工業區為住宅區、商業區、鄰里公園兼兒童遊樂場用地、綠地用地、停車場用地、廣場用地及道路用地)細部計畫</w:t>
            </w:r>
          </w:p>
        </w:tc>
      </w:tr>
      <w:tr w:rsidR="000C37E3" w:rsidRPr="000C37E3" w:rsidTr="00EC7316">
        <w:trPr>
          <w:trHeight w:val="565"/>
        </w:trPr>
        <w:tc>
          <w:tcPr>
            <w:tcW w:w="1276" w:type="dxa"/>
            <w:vAlign w:val="center"/>
          </w:tcPr>
          <w:p w:rsidR="000C37E3" w:rsidRPr="00EC7316" w:rsidRDefault="000C37E3" w:rsidP="00EC7316">
            <w:pPr>
              <w:jc w:val="center"/>
              <w:rPr>
                <w:rFonts w:ascii="標楷體" w:eastAsia="標楷體" w:hAnsi="標楷體"/>
                <w:b/>
              </w:rPr>
            </w:pPr>
            <w:r w:rsidRPr="00EC7316">
              <w:rPr>
                <w:rFonts w:ascii="標楷體" w:eastAsia="標楷體" w:hAnsi="標楷體" w:hint="eastAsia"/>
                <w:b/>
              </w:rPr>
              <w:t>項次</w:t>
            </w:r>
          </w:p>
        </w:tc>
        <w:tc>
          <w:tcPr>
            <w:tcW w:w="6946" w:type="dxa"/>
            <w:gridSpan w:val="4"/>
            <w:vAlign w:val="center"/>
          </w:tcPr>
          <w:p w:rsidR="000C37E3" w:rsidRPr="00EC7316" w:rsidRDefault="000C37E3" w:rsidP="00EC7316">
            <w:pPr>
              <w:jc w:val="center"/>
              <w:rPr>
                <w:rFonts w:ascii="標楷體" w:eastAsia="標楷體" w:hAnsi="標楷體"/>
                <w:b/>
              </w:rPr>
            </w:pPr>
            <w:r w:rsidRPr="00EC7316">
              <w:rPr>
                <w:rFonts w:ascii="標楷體" w:eastAsia="標楷體" w:hAnsi="標楷體" w:hint="eastAsia"/>
                <w:b/>
              </w:rPr>
              <w:t>管制內容說明</w:t>
            </w:r>
          </w:p>
        </w:tc>
        <w:tc>
          <w:tcPr>
            <w:tcW w:w="3119" w:type="dxa"/>
            <w:gridSpan w:val="3"/>
            <w:vAlign w:val="center"/>
          </w:tcPr>
          <w:p w:rsidR="000C37E3" w:rsidRPr="00EC7316" w:rsidRDefault="000C37E3" w:rsidP="00EC7316">
            <w:pPr>
              <w:jc w:val="center"/>
              <w:rPr>
                <w:rFonts w:ascii="標楷體" w:eastAsia="標楷體" w:hAnsi="標楷體"/>
                <w:b/>
              </w:rPr>
            </w:pPr>
            <w:r w:rsidRPr="00EC7316">
              <w:rPr>
                <w:rFonts w:ascii="標楷體" w:eastAsia="標楷體" w:hAnsi="標楷體" w:hint="eastAsia"/>
                <w:b/>
              </w:rPr>
              <w:t>開發及設計說明</w:t>
            </w:r>
          </w:p>
        </w:tc>
        <w:tc>
          <w:tcPr>
            <w:tcW w:w="1842" w:type="dxa"/>
            <w:gridSpan w:val="3"/>
            <w:vAlign w:val="center"/>
          </w:tcPr>
          <w:p w:rsidR="000C37E3" w:rsidRPr="00EC7316" w:rsidRDefault="000C37E3" w:rsidP="00EC7316">
            <w:pPr>
              <w:jc w:val="center"/>
              <w:rPr>
                <w:rFonts w:ascii="標楷體" w:eastAsia="標楷體" w:hAnsi="標楷體"/>
                <w:b/>
              </w:rPr>
            </w:pPr>
            <w:r w:rsidRPr="00EC7316">
              <w:rPr>
                <w:rFonts w:ascii="標楷體" w:eastAsia="標楷體" w:hAnsi="標楷體" w:hint="eastAsia"/>
                <w:b/>
              </w:rPr>
              <w:t>條件符合</w:t>
            </w:r>
          </w:p>
        </w:tc>
        <w:tc>
          <w:tcPr>
            <w:tcW w:w="1418" w:type="dxa"/>
            <w:vAlign w:val="center"/>
          </w:tcPr>
          <w:p w:rsidR="000C37E3" w:rsidRPr="00EC7316" w:rsidRDefault="000C37E3" w:rsidP="00EC7316">
            <w:pPr>
              <w:jc w:val="center"/>
              <w:rPr>
                <w:rFonts w:ascii="標楷體" w:eastAsia="標楷體" w:hAnsi="標楷體"/>
                <w:b/>
              </w:rPr>
            </w:pPr>
            <w:r w:rsidRPr="00EC7316">
              <w:rPr>
                <w:rFonts w:ascii="標楷體" w:eastAsia="標楷體" w:hAnsi="標楷體" w:hint="eastAsia"/>
                <w:b/>
              </w:rPr>
              <w:t>備註</w:t>
            </w:r>
          </w:p>
        </w:tc>
      </w:tr>
      <w:tr w:rsidR="000C37E3" w:rsidRPr="00C1784B" w:rsidTr="00C1784B">
        <w:tc>
          <w:tcPr>
            <w:tcW w:w="1276" w:type="dxa"/>
            <w:vAlign w:val="center"/>
          </w:tcPr>
          <w:p w:rsidR="000C37E3" w:rsidRPr="000C37E3" w:rsidRDefault="000C37E3" w:rsidP="000C37E3">
            <w:pPr>
              <w:jc w:val="center"/>
              <w:rPr>
                <w:rFonts w:ascii="標楷體" w:eastAsia="標楷體" w:hAnsi="標楷體"/>
              </w:rPr>
            </w:pPr>
            <w:r w:rsidRPr="000C37E3">
              <w:rPr>
                <w:rFonts w:ascii="標楷體" w:eastAsia="標楷體" w:hAnsi="標楷體" w:hint="eastAsia"/>
              </w:rPr>
              <w:t>1</w:t>
            </w:r>
          </w:p>
        </w:tc>
        <w:tc>
          <w:tcPr>
            <w:tcW w:w="6946" w:type="dxa"/>
            <w:gridSpan w:val="4"/>
            <w:vAlign w:val="center"/>
          </w:tcPr>
          <w:p w:rsidR="009A46C9" w:rsidRPr="00C1784B" w:rsidRDefault="009A46C9" w:rsidP="009A46C9">
            <w:pPr>
              <w:rPr>
                <w:rFonts w:ascii="標楷體" w:eastAsia="標楷體" w:hAnsi="標楷體"/>
                <w:sz w:val="22"/>
              </w:rPr>
            </w:pPr>
            <w:r w:rsidRPr="00C1784B">
              <w:rPr>
                <w:rFonts w:ascii="標楷體" w:eastAsia="標楷體" w:hAnsi="標楷體" w:hint="eastAsia"/>
                <w:sz w:val="22"/>
              </w:rPr>
              <w:t>住宅區之建蔽率不得大於50%，容積率不得大於200%。</w:t>
            </w:r>
          </w:p>
          <w:p w:rsidR="009A46C9" w:rsidRPr="00C1784B" w:rsidRDefault="009A46C9" w:rsidP="009A46C9">
            <w:pPr>
              <w:ind w:leftChars="73" w:left="175"/>
              <w:jc w:val="both"/>
              <w:rPr>
                <w:rFonts w:ascii="標楷體" w:eastAsia="標楷體" w:hAnsi="標楷體"/>
                <w:sz w:val="22"/>
              </w:rPr>
            </w:pPr>
            <w:r w:rsidRPr="00C1784B">
              <w:rPr>
                <w:rFonts w:ascii="標楷體" w:eastAsia="標楷體" w:hAnsi="標楷體" w:hint="eastAsia"/>
                <w:sz w:val="22"/>
              </w:rPr>
              <w:t>(</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)住宅區2樓以上樓高不得大於4.2公尺。</w:t>
            </w:r>
          </w:p>
          <w:p w:rsidR="009A46C9" w:rsidRPr="00C1784B" w:rsidRDefault="009A46C9" w:rsidP="009A46C9">
            <w:pPr>
              <w:ind w:leftChars="73" w:left="564" w:hangingChars="177" w:hanging="389"/>
              <w:jc w:val="both"/>
              <w:rPr>
                <w:rFonts w:ascii="標楷體" w:eastAsia="標楷體" w:hAnsi="標楷體"/>
                <w:sz w:val="22"/>
              </w:rPr>
            </w:pPr>
            <w:r w:rsidRPr="00C1784B">
              <w:rPr>
                <w:rFonts w:ascii="標楷體" w:eastAsia="標楷體" w:hAnsi="標楷體" w:hint="eastAsia"/>
                <w:sz w:val="22"/>
              </w:rPr>
              <w:t>(二)為提升居住環境品質及解決停車需求，建築基地申請建築時，其建築樓地板面積在250平方公尺(含)以下者，應留設一部停車空間，如超過250平方公尺者，超過部分每150平方公尺及其零數應增設一部停車空間。</w:t>
            </w:r>
          </w:p>
          <w:p w:rsidR="000C37E3" w:rsidRPr="00C1784B" w:rsidRDefault="009A46C9" w:rsidP="009A46C9">
            <w:pPr>
              <w:ind w:leftChars="73" w:left="564" w:hangingChars="177" w:hanging="389"/>
              <w:jc w:val="both"/>
              <w:rPr>
                <w:rFonts w:ascii="標楷體" w:eastAsia="標楷體" w:hAnsi="標楷體"/>
                <w:sz w:val="22"/>
              </w:rPr>
            </w:pPr>
            <w:r w:rsidRPr="00C1784B">
              <w:rPr>
                <w:rFonts w:ascii="標楷體" w:eastAsia="標楷體" w:hAnsi="標楷體" w:hint="eastAsia"/>
                <w:sz w:val="22"/>
              </w:rPr>
              <w:t>(三)所留設之停車空間如屬</w:t>
            </w:r>
            <w:proofErr w:type="gramStart"/>
            <w:r w:rsidRPr="00C1784B">
              <w:rPr>
                <w:rFonts w:ascii="標楷體" w:eastAsia="標楷體" w:hAnsi="標楷體" w:hint="eastAsia"/>
                <w:sz w:val="22"/>
              </w:rPr>
              <w:t>同一戶</w:t>
            </w:r>
            <w:proofErr w:type="gramEnd"/>
            <w:r w:rsidRPr="00C1784B">
              <w:rPr>
                <w:rFonts w:ascii="標楷體" w:eastAsia="標楷體" w:hAnsi="標楷體" w:hint="eastAsia"/>
                <w:sz w:val="22"/>
              </w:rPr>
              <w:t>，得免依建築技術規則留設車道。</w:t>
            </w:r>
          </w:p>
        </w:tc>
        <w:tc>
          <w:tcPr>
            <w:tcW w:w="3119" w:type="dxa"/>
            <w:gridSpan w:val="3"/>
            <w:vAlign w:val="center"/>
          </w:tcPr>
          <w:p w:rsidR="000C37E3" w:rsidRPr="00C1784B" w:rsidRDefault="000C37E3" w:rsidP="000C37E3">
            <w:pPr>
              <w:jc w:val="both"/>
              <w:rPr>
                <w:rFonts w:ascii="標楷體" w:eastAsia="標楷體" w:hAnsi="標楷體"/>
                <w:sz w:val="22"/>
              </w:rPr>
            </w:pPr>
          </w:p>
        </w:tc>
        <w:tc>
          <w:tcPr>
            <w:tcW w:w="921" w:type="dxa"/>
            <w:gridSpan w:val="2"/>
            <w:vAlign w:val="center"/>
          </w:tcPr>
          <w:p w:rsidR="000C37E3" w:rsidRPr="00C1784B" w:rsidRDefault="000C37E3" w:rsidP="004601E1">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0C37E3" w:rsidRPr="00C1784B" w:rsidRDefault="000C37E3" w:rsidP="004601E1">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0C37E3" w:rsidRPr="00C1784B" w:rsidRDefault="000C37E3" w:rsidP="000C37E3">
            <w:pPr>
              <w:jc w:val="both"/>
              <w:rPr>
                <w:rFonts w:ascii="標楷體" w:eastAsia="標楷體" w:hAnsi="標楷體"/>
                <w:sz w:val="22"/>
              </w:rPr>
            </w:pPr>
          </w:p>
        </w:tc>
      </w:tr>
      <w:tr w:rsidR="000C37E3" w:rsidRPr="00C1784B" w:rsidTr="00EC7316">
        <w:trPr>
          <w:trHeight w:val="6005"/>
        </w:trPr>
        <w:tc>
          <w:tcPr>
            <w:tcW w:w="1276" w:type="dxa"/>
            <w:vAlign w:val="center"/>
          </w:tcPr>
          <w:p w:rsidR="000C37E3" w:rsidRPr="000C37E3" w:rsidRDefault="000C37E3" w:rsidP="000C37E3">
            <w:pPr>
              <w:jc w:val="center"/>
              <w:rPr>
                <w:rFonts w:ascii="標楷體" w:eastAsia="標楷體" w:hAnsi="標楷體"/>
              </w:rPr>
            </w:pPr>
            <w:r w:rsidRPr="000C37E3">
              <w:rPr>
                <w:rFonts w:ascii="標楷體" w:eastAsia="標楷體" w:hAnsi="標楷體" w:hint="eastAsia"/>
              </w:rPr>
              <w:t>2</w:t>
            </w:r>
          </w:p>
        </w:tc>
        <w:tc>
          <w:tcPr>
            <w:tcW w:w="6946" w:type="dxa"/>
            <w:gridSpan w:val="4"/>
            <w:vAlign w:val="center"/>
          </w:tcPr>
          <w:p w:rsidR="009A46C9" w:rsidRPr="00C1784B" w:rsidRDefault="009A46C9" w:rsidP="009A46C9">
            <w:pPr>
              <w:jc w:val="both"/>
              <w:rPr>
                <w:rFonts w:ascii="標楷體" w:eastAsia="標楷體" w:hAnsi="標楷體"/>
                <w:sz w:val="22"/>
              </w:rPr>
            </w:pPr>
            <w:r w:rsidRPr="00C1784B">
              <w:rPr>
                <w:rFonts w:ascii="標楷體" w:eastAsia="標楷體" w:hAnsi="標楷體" w:hint="eastAsia"/>
                <w:sz w:val="22"/>
              </w:rPr>
              <w:t>商業區一樓禁止供住宅使用，其建蔽率不得大於60%，容積率不得大於282%。</w:t>
            </w:r>
          </w:p>
          <w:p w:rsidR="009A46C9" w:rsidRPr="00C1784B" w:rsidRDefault="009A46C9" w:rsidP="009A46C9">
            <w:pPr>
              <w:ind w:leftChars="73" w:left="175"/>
              <w:jc w:val="both"/>
              <w:rPr>
                <w:rFonts w:ascii="標楷體" w:eastAsia="標楷體" w:hAnsi="標楷體"/>
                <w:sz w:val="22"/>
              </w:rPr>
            </w:pPr>
            <w:r w:rsidRPr="00C1784B">
              <w:rPr>
                <w:rFonts w:ascii="標楷體" w:eastAsia="標楷體" w:hAnsi="標楷體" w:hint="eastAsia"/>
                <w:sz w:val="22"/>
              </w:rPr>
              <w:t>(</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)商業區不得設置汽車旅館。</w:t>
            </w:r>
          </w:p>
          <w:p w:rsidR="009A46C9" w:rsidRPr="00C1784B" w:rsidRDefault="009A46C9" w:rsidP="009A46C9">
            <w:pPr>
              <w:ind w:leftChars="73" w:left="175"/>
              <w:jc w:val="both"/>
              <w:rPr>
                <w:rFonts w:ascii="標楷體" w:eastAsia="標楷體" w:hAnsi="標楷體"/>
                <w:sz w:val="22"/>
              </w:rPr>
            </w:pPr>
            <w:r w:rsidRPr="00C1784B">
              <w:rPr>
                <w:rFonts w:ascii="標楷體" w:eastAsia="標楷體" w:hAnsi="標楷體" w:hint="eastAsia"/>
                <w:sz w:val="22"/>
              </w:rPr>
              <w:t>(二)停車空間：</w:t>
            </w:r>
          </w:p>
          <w:p w:rsidR="009A46C9" w:rsidRPr="00C1784B" w:rsidRDefault="009A46C9" w:rsidP="009A46C9">
            <w:pPr>
              <w:ind w:leftChars="73" w:left="175"/>
              <w:jc w:val="both"/>
              <w:rPr>
                <w:rFonts w:ascii="標楷體" w:eastAsia="標楷體" w:hAnsi="標楷體"/>
                <w:sz w:val="22"/>
              </w:rPr>
            </w:pPr>
            <w:r w:rsidRPr="00C1784B">
              <w:rPr>
                <w:rFonts w:ascii="標楷體" w:eastAsia="標楷體" w:hAnsi="標楷體" w:hint="eastAsia"/>
                <w:sz w:val="22"/>
              </w:rPr>
              <w:t>1.申請供住宅使用部份</w:t>
            </w:r>
          </w:p>
          <w:p w:rsidR="009A46C9" w:rsidRPr="00C1784B" w:rsidRDefault="009A46C9" w:rsidP="009A46C9">
            <w:pPr>
              <w:ind w:leftChars="73" w:left="490" w:hangingChars="143" w:hanging="315"/>
              <w:jc w:val="both"/>
              <w:rPr>
                <w:rFonts w:ascii="標楷體" w:eastAsia="標楷體" w:hAnsi="標楷體"/>
                <w:sz w:val="22"/>
              </w:rPr>
            </w:pPr>
            <w:r w:rsidRPr="00C1784B">
              <w:rPr>
                <w:rFonts w:ascii="標楷體" w:eastAsia="標楷體" w:hAnsi="標楷體" w:hint="eastAsia"/>
                <w:sz w:val="22"/>
              </w:rPr>
              <w:t>(1)為提升居住環境品質及解決停車需求，建築基地申請建築時，其建築樓地板面積在250平方公尺(含)以下者，應留設一部停車空間，如超過250平方公尺者，超過部分每150平方公尺及其零數應增設一部停車空間。</w:t>
            </w:r>
          </w:p>
          <w:p w:rsidR="009A46C9" w:rsidRPr="00C1784B" w:rsidRDefault="009A46C9" w:rsidP="009A46C9">
            <w:pPr>
              <w:ind w:leftChars="73" w:left="490" w:hangingChars="143" w:hanging="315"/>
              <w:jc w:val="both"/>
              <w:rPr>
                <w:rFonts w:ascii="標楷體" w:eastAsia="標楷體" w:hAnsi="標楷體"/>
                <w:sz w:val="22"/>
              </w:rPr>
            </w:pPr>
            <w:r w:rsidRPr="00C1784B">
              <w:rPr>
                <w:rFonts w:ascii="標楷體" w:eastAsia="標楷體" w:hAnsi="標楷體" w:hint="eastAsia"/>
                <w:sz w:val="22"/>
              </w:rPr>
              <w:t>(2)所留設之停車空間如屬</w:t>
            </w:r>
            <w:proofErr w:type="gramStart"/>
            <w:r w:rsidRPr="00C1784B">
              <w:rPr>
                <w:rFonts w:ascii="標楷體" w:eastAsia="標楷體" w:hAnsi="標楷體" w:hint="eastAsia"/>
                <w:sz w:val="22"/>
              </w:rPr>
              <w:t>同一戶</w:t>
            </w:r>
            <w:proofErr w:type="gramEnd"/>
            <w:r w:rsidRPr="00C1784B">
              <w:rPr>
                <w:rFonts w:ascii="標楷體" w:eastAsia="標楷體" w:hAnsi="標楷體" w:hint="eastAsia"/>
                <w:sz w:val="22"/>
              </w:rPr>
              <w:t>，得免依建築技術規則留設車道。</w:t>
            </w:r>
          </w:p>
          <w:p w:rsidR="009A46C9" w:rsidRPr="00C1784B" w:rsidRDefault="009A46C9" w:rsidP="009A46C9">
            <w:pPr>
              <w:ind w:leftChars="73" w:left="175"/>
              <w:jc w:val="both"/>
              <w:rPr>
                <w:rFonts w:ascii="標楷體" w:eastAsia="標楷體" w:hAnsi="標楷體"/>
                <w:sz w:val="22"/>
              </w:rPr>
            </w:pPr>
            <w:r w:rsidRPr="00C1784B">
              <w:rPr>
                <w:rFonts w:ascii="標楷體" w:eastAsia="標楷體" w:hAnsi="標楷體" w:hint="eastAsia"/>
                <w:sz w:val="22"/>
              </w:rPr>
              <w:t>2.申請非供住宅使用部份</w:t>
            </w:r>
          </w:p>
          <w:p w:rsidR="009A46C9" w:rsidRPr="00C1784B" w:rsidRDefault="009A46C9" w:rsidP="009A46C9">
            <w:pPr>
              <w:ind w:leftChars="73" w:left="490" w:hangingChars="143" w:hanging="315"/>
              <w:jc w:val="both"/>
              <w:rPr>
                <w:rFonts w:ascii="標楷體" w:eastAsia="標楷體" w:hAnsi="標楷體"/>
                <w:sz w:val="22"/>
              </w:rPr>
            </w:pPr>
            <w:r w:rsidRPr="00C1784B">
              <w:rPr>
                <w:rFonts w:ascii="標楷體" w:eastAsia="標楷體" w:hAnsi="標楷體" w:hint="eastAsia"/>
                <w:sz w:val="22"/>
              </w:rPr>
              <w:t>(1)為提升居住環境品質及解決停車需求，建築基地申請建築時，其建築樓地板面積在250平方公尺(含)以下者，應留設一部停車空間，如超過250平方公尺者，超過部分每125平方公尺及其零數應增設一部停車空間。</w:t>
            </w:r>
          </w:p>
          <w:p w:rsidR="000C37E3" w:rsidRPr="00C1784B" w:rsidRDefault="009A46C9" w:rsidP="009A46C9">
            <w:pPr>
              <w:ind w:leftChars="73" w:left="476" w:hangingChars="137" w:hanging="301"/>
              <w:jc w:val="both"/>
              <w:rPr>
                <w:sz w:val="22"/>
              </w:rPr>
            </w:pPr>
            <w:r w:rsidRPr="00C1784B">
              <w:rPr>
                <w:rFonts w:ascii="標楷體" w:eastAsia="標楷體" w:hAnsi="標楷體" w:hint="eastAsia"/>
                <w:sz w:val="22"/>
              </w:rPr>
              <w:t>(2)所留設之停車空間如屬</w:t>
            </w:r>
            <w:proofErr w:type="gramStart"/>
            <w:r w:rsidRPr="00C1784B">
              <w:rPr>
                <w:rFonts w:ascii="標楷體" w:eastAsia="標楷體" w:hAnsi="標楷體" w:hint="eastAsia"/>
                <w:sz w:val="22"/>
              </w:rPr>
              <w:t>同一戶</w:t>
            </w:r>
            <w:proofErr w:type="gramEnd"/>
            <w:r w:rsidRPr="00C1784B">
              <w:rPr>
                <w:rFonts w:ascii="標楷體" w:eastAsia="標楷體" w:hAnsi="標楷體" w:hint="eastAsia"/>
                <w:sz w:val="22"/>
              </w:rPr>
              <w:t>，得免依建築技術規則留設車道。</w:t>
            </w:r>
          </w:p>
        </w:tc>
        <w:tc>
          <w:tcPr>
            <w:tcW w:w="3119" w:type="dxa"/>
            <w:gridSpan w:val="3"/>
            <w:vAlign w:val="center"/>
          </w:tcPr>
          <w:p w:rsidR="000C37E3" w:rsidRPr="00C1784B" w:rsidRDefault="000C37E3" w:rsidP="000C37E3">
            <w:pPr>
              <w:jc w:val="both"/>
              <w:rPr>
                <w:rFonts w:ascii="標楷體" w:eastAsia="標楷體" w:hAnsi="標楷體"/>
                <w:sz w:val="22"/>
              </w:rPr>
            </w:pPr>
          </w:p>
        </w:tc>
        <w:tc>
          <w:tcPr>
            <w:tcW w:w="921" w:type="dxa"/>
            <w:gridSpan w:val="2"/>
            <w:vAlign w:val="center"/>
          </w:tcPr>
          <w:p w:rsidR="000C37E3" w:rsidRPr="00C1784B" w:rsidRDefault="000C37E3" w:rsidP="004601E1">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0C37E3" w:rsidRPr="00C1784B" w:rsidRDefault="000C37E3" w:rsidP="004601E1">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0C37E3" w:rsidRPr="00C1784B" w:rsidRDefault="000C37E3" w:rsidP="000C37E3">
            <w:pPr>
              <w:jc w:val="both"/>
              <w:rPr>
                <w:rFonts w:ascii="標楷體" w:eastAsia="標楷體" w:hAnsi="標楷體"/>
                <w:sz w:val="22"/>
              </w:rPr>
            </w:pPr>
          </w:p>
        </w:tc>
      </w:tr>
      <w:tr w:rsidR="00C1784B" w:rsidRPr="00C1784B" w:rsidTr="00C1784B">
        <w:tc>
          <w:tcPr>
            <w:tcW w:w="1276" w:type="dxa"/>
            <w:vAlign w:val="center"/>
          </w:tcPr>
          <w:p w:rsidR="00C1784B" w:rsidRPr="000C37E3" w:rsidRDefault="00C1784B" w:rsidP="00C1784B">
            <w:pPr>
              <w:jc w:val="center"/>
              <w:rPr>
                <w:rFonts w:ascii="標楷體" w:eastAsia="標楷體" w:hAnsi="標楷體"/>
              </w:rPr>
            </w:pPr>
            <w:r>
              <w:rPr>
                <w:rFonts w:ascii="標楷體" w:eastAsia="標楷體" w:hAnsi="標楷體" w:hint="eastAsia"/>
              </w:rPr>
              <w:t>3</w:t>
            </w:r>
          </w:p>
        </w:tc>
        <w:tc>
          <w:tcPr>
            <w:tcW w:w="6946" w:type="dxa"/>
            <w:gridSpan w:val="4"/>
            <w:vAlign w:val="center"/>
          </w:tcPr>
          <w:p w:rsidR="00C1784B" w:rsidRPr="00C1784B" w:rsidRDefault="00C1784B" w:rsidP="00C1784B">
            <w:pPr>
              <w:jc w:val="both"/>
              <w:rPr>
                <w:rFonts w:ascii="標楷體" w:eastAsia="標楷體" w:hAnsi="標楷體"/>
                <w:sz w:val="22"/>
              </w:rPr>
            </w:pPr>
            <w:r w:rsidRPr="00C1784B">
              <w:rPr>
                <w:rFonts w:ascii="標楷體" w:eastAsia="標楷體" w:hAnsi="標楷體" w:hint="eastAsia"/>
                <w:sz w:val="22"/>
              </w:rPr>
              <w:t>公共設施用地，得依「都市計畫公共設施用地多目標使用辦法」之規定作多目標使用時，以供作非營業性之公共使用者為限。其相關規定如下：</w:t>
            </w:r>
          </w:p>
          <w:p w:rsidR="00C1784B" w:rsidRPr="00C1784B" w:rsidRDefault="00C1784B" w:rsidP="00C1784B">
            <w:pPr>
              <w:ind w:leftChars="73" w:left="630" w:hangingChars="207" w:hanging="455"/>
              <w:jc w:val="both"/>
              <w:rPr>
                <w:rFonts w:ascii="標楷體" w:eastAsia="標楷體" w:hAnsi="標楷體"/>
                <w:sz w:val="22"/>
              </w:rPr>
            </w:pPr>
            <w:r w:rsidRPr="00C1784B">
              <w:rPr>
                <w:rFonts w:ascii="標楷體" w:eastAsia="標楷體" w:hAnsi="標楷體" w:hint="eastAsia"/>
                <w:sz w:val="22"/>
              </w:rPr>
              <w:t>(</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停車場用地四周應予美化。其以平面使用者，其建蔽率不得大於5%。以立體使用者，建蔽率不得大於70%，容積率不得大於400%，其得以多目標使用之項目包括管理單位辦公場所、圖書館、民眾活動中心、休閒運動設施、派出所及消防隊。</w:t>
            </w:r>
          </w:p>
          <w:p w:rsidR="00C1784B" w:rsidRPr="00C1784B" w:rsidRDefault="00C1784B" w:rsidP="00C1784B">
            <w:pPr>
              <w:ind w:leftChars="73" w:left="630" w:hangingChars="207" w:hanging="455"/>
              <w:jc w:val="both"/>
              <w:rPr>
                <w:rFonts w:ascii="標楷體" w:eastAsia="標楷體" w:hAnsi="標楷體"/>
                <w:sz w:val="22"/>
              </w:rPr>
            </w:pPr>
            <w:r w:rsidRPr="00C1784B">
              <w:rPr>
                <w:rFonts w:ascii="標楷體" w:eastAsia="標楷體" w:hAnsi="標楷體" w:hint="eastAsia"/>
                <w:sz w:val="22"/>
              </w:rPr>
              <w:t>(二)鄰里公園兼兒童遊樂場用地之建蔽率不得大於15%，容積率不得大於30%；其以立體多目標使用時，以供</w:t>
            </w:r>
            <w:proofErr w:type="gramStart"/>
            <w:r w:rsidRPr="00C1784B">
              <w:rPr>
                <w:rFonts w:ascii="標楷體" w:eastAsia="標楷體" w:hAnsi="標楷體" w:hint="eastAsia"/>
                <w:sz w:val="22"/>
              </w:rPr>
              <w:t>貯留池</w:t>
            </w:r>
            <w:proofErr w:type="gramEnd"/>
            <w:r w:rsidRPr="00C1784B">
              <w:rPr>
                <w:rFonts w:ascii="標楷體" w:eastAsia="標楷體" w:hAnsi="標楷體" w:hint="eastAsia"/>
                <w:sz w:val="22"/>
              </w:rPr>
              <w:t>、截流站及污水處理設施等為限；其以平面多目標使用時，以供上下水道系統相關設施為限。</w:t>
            </w:r>
          </w:p>
          <w:p w:rsidR="00C1784B" w:rsidRPr="00C1784B" w:rsidRDefault="00C1784B" w:rsidP="00C1784B">
            <w:pPr>
              <w:ind w:leftChars="73" w:left="175"/>
              <w:jc w:val="both"/>
              <w:rPr>
                <w:rFonts w:ascii="標楷體" w:eastAsia="標楷體" w:hAnsi="標楷體"/>
                <w:sz w:val="22"/>
              </w:rPr>
            </w:pPr>
            <w:r w:rsidRPr="00C1784B">
              <w:rPr>
                <w:rFonts w:ascii="標楷體" w:eastAsia="標楷體" w:hAnsi="標楷體" w:hint="eastAsia"/>
                <w:sz w:val="22"/>
              </w:rPr>
              <w:t>其於開闢時，應保留部分設置雨水</w:t>
            </w:r>
            <w:proofErr w:type="gramStart"/>
            <w:r w:rsidRPr="00C1784B">
              <w:rPr>
                <w:rFonts w:ascii="標楷體" w:eastAsia="標楷體" w:hAnsi="標楷體" w:hint="eastAsia"/>
                <w:sz w:val="22"/>
              </w:rPr>
              <w:t>貯留池</w:t>
            </w:r>
            <w:proofErr w:type="gramEnd"/>
            <w:r w:rsidRPr="00C1784B">
              <w:rPr>
                <w:rFonts w:ascii="標楷體" w:eastAsia="標楷體" w:hAnsi="標楷體" w:hint="eastAsia"/>
                <w:sz w:val="22"/>
              </w:rPr>
              <w:t>或生態池等保水設施。</w:t>
            </w:r>
          </w:p>
          <w:p w:rsidR="00C1784B" w:rsidRPr="00C1784B" w:rsidRDefault="00C1784B" w:rsidP="00C1784B">
            <w:pPr>
              <w:ind w:leftChars="73" w:left="593" w:hangingChars="190" w:hanging="418"/>
              <w:jc w:val="both"/>
              <w:rPr>
                <w:rFonts w:ascii="標楷體" w:eastAsia="標楷體" w:hAnsi="標楷體"/>
                <w:sz w:val="22"/>
              </w:rPr>
            </w:pPr>
            <w:r w:rsidRPr="00C1784B">
              <w:rPr>
                <w:rFonts w:ascii="標楷體" w:eastAsia="標楷體" w:hAnsi="標楷體" w:hint="eastAsia"/>
                <w:sz w:val="22"/>
              </w:rPr>
              <w:t>(三)廣場用地以供人行廣場及公共開放空間使用為主，惟得供臨時卸貨車輛及消防、救災車輛之進出。</w:t>
            </w:r>
          </w:p>
          <w:p w:rsidR="00C1784B" w:rsidRPr="00C1784B" w:rsidRDefault="00C1784B" w:rsidP="00C1784B">
            <w:pPr>
              <w:ind w:leftChars="73" w:left="630" w:hangingChars="207" w:hanging="455"/>
              <w:jc w:val="both"/>
              <w:rPr>
                <w:rFonts w:ascii="標楷體" w:eastAsia="標楷體" w:hAnsi="標楷體"/>
                <w:sz w:val="22"/>
              </w:rPr>
            </w:pPr>
            <w:r w:rsidRPr="00C1784B">
              <w:rPr>
                <w:rFonts w:ascii="標楷體" w:eastAsia="標楷體" w:hAnsi="標楷體" w:hint="eastAsia"/>
                <w:sz w:val="22"/>
              </w:rPr>
              <w:t>(四)綠地用地得以多目標使用之項目為天然氣整壓站及遮斷設施。</w:t>
            </w:r>
          </w:p>
          <w:p w:rsidR="00C1784B" w:rsidRPr="00C1784B" w:rsidRDefault="00C1784B" w:rsidP="00C1784B">
            <w:pPr>
              <w:ind w:leftChars="82" w:left="567" w:hangingChars="168" w:hanging="370"/>
              <w:jc w:val="both"/>
              <w:rPr>
                <w:sz w:val="22"/>
              </w:rPr>
            </w:pPr>
            <w:r w:rsidRPr="00C1784B">
              <w:rPr>
                <w:rFonts w:ascii="標楷體" w:eastAsia="標楷體" w:hAnsi="標楷體" w:hint="eastAsia"/>
                <w:sz w:val="22"/>
              </w:rPr>
              <w:t>(五)2-6、5-24、5-25、5-26等主要道路與次要道路，應於道路二</w:t>
            </w:r>
            <w:proofErr w:type="gramStart"/>
            <w:r w:rsidRPr="00C1784B">
              <w:rPr>
                <w:rFonts w:ascii="標楷體" w:eastAsia="標楷體" w:hAnsi="標楷體" w:hint="eastAsia"/>
                <w:sz w:val="22"/>
              </w:rPr>
              <w:t>側路權</w:t>
            </w:r>
            <w:proofErr w:type="gramEnd"/>
            <w:r w:rsidRPr="00C1784B">
              <w:rPr>
                <w:rFonts w:ascii="標楷體" w:eastAsia="標楷體" w:hAnsi="標楷體" w:hint="eastAsia"/>
                <w:sz w:val="22"/>
              </w:rPr>
              <w:t>範圍</w:t>
            </w:r>
            <w:proofErr w:type="gramStart"/>
            <w:r w:rsidRPr="00C1784B">
              <w:rPr>
                <w:rFonts w:ascii="標楷體" w:eastAsia="標楷體" w:hAnsi="標楷體" w:hint="eastAsia"/>
                <w:sz w:val="22"/>
              </w:rPr>
              <w:t>內各留設</w:t>
            </w:r>
            <w:proofErr w:type="gramEnd"/>
            <w:r w:rsidRPr="00C1784B">
              <w:rPr>
                <w:rFonts w:ascii="標楷體" w:eastAsia="標楷體" w:hAnsi="標楷體" w:hint="eastAsia"/>
                <w:sz w:val="22"/>
              </w:rPr>
              <w:t>2公尺之寬度，以供道路設施帶、綠化使用以及必要性進出入口之空間。</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c>
          <w:tcPr>
            <w:tcW w:w="1276" w:type="dxa"/>
            <w:vAlign w:val="center"/>
          </w:tcPr>
          <w:p w:rsidR="00C1784B" w:rsidRPr="000C37E3" w:rsidRDefault="00C1784B" w:rsidP="00C1784B">
            <w:pPr>
              <w:jc w:val="center"/>
              <w:rPr>
                <w:rFonts w:ascii="標楷體" w:eastAsia="標楷體" w:hAnsi="標楷體"/>
              </w:rPr>
            </w:pPr>
            <w:r>
              <w:rPr>
                <w:rFonts w:ascii="標楷體" w:eastAsia="標楷體" w:hAnsi="標楷體" w:hint="eastAsia"/>
              </w:rPr>
              <w:t>4</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本計畫區退縮規定如下(詳都市計畫書-公共開放空間及建築退縮規定示意圖)：</w:t>
            </w:r>
          </w:p>
          <w:p w:rsidR="00C1784B" w:rsidRPr="00C1784B" w:rsidRDefault="00C1784B" w:rsidP="00C1784B">
            <w:pPr>
              <w:ind w:left="451" w:hangingChars="205" w:hanging="451"/>
              <w:rPr>
                <w:rFonts w:ascii="標楷體" w:eastAsia="標楷體" w:hAnsi="標楷體"/>
                <w:sz w:val="22"/>
              </w:rPr>
            </w:pPr>
            <w:r w:rsidRPr="00C1784B">
              <w:rPr>
                <w:rFonts w:ascii="標楷體" w:eastAsia="標楷體" w:hAnsi="標楷體" w:hint="eastAsia"/>
                <w:sz w:val="22"/>
              </w:rPr>
              <w:t>(</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)住宅區、商業區及停車場用地應自道路及廣場境界線至少退縮5公尺建築，其退縮部分得計入為法定空地，不得設置圍牆，並應植栽綠化。</w:t>
            </w:r>
          </w:p>
          <w:p w:rsidR="00C1784B" w:rsidRPr="00C1784B" w:rsidRDefault="00C1784B" w:rsidP="00C1784B">
            <w:pPr>
              <w:ind w:left="438" w:hangingChars="199" w:hanging="438"/>
              <w:rPr>
                <w:rFonts w:ascii="標楷體" w:eastAsia="標楷體" w:hAnsi="標楷體"/>
                <w:sz w:val="22"/>
              </w:rPr>
            </w:pPr>
            <w:r w:rsidRPr="00C1784B">
              <w:rPr>
                <w:rFonts w:ascii="標楷體" w:eastAsia="標楷體" w:hAnsi="標楷體" w:hint="eastAsia"/>
                <w:sz w:val="22"/>
              </w:rPr>
              <w:t>(二)鄰里公園兼兒童遊樂場用地【公(兒)五】應沿計畫道路境界線</w:t>
            </w:r>
            <w:proofErr w:type="gramStart"/>
            <w:r w:rsidRPr="00C1784B">
              <w:rPr>
                <w:rFonts w:ascii="標楷體" w:eastAsia="標楷體" w:hAnsi="標楷體" w:hint="eastAsia"/>
                <w:sz w:val="22"/>
              </w:rPr>
              <w:t>佈</w:t>
            </w:r>
            <w:proofErr w:type="gramEnd"/>
            <w:r w:rsidRPr="00C1784B">
              <w:rPr>
                <w:rFonts w:ascii="標楷體" w:eastAsia="標楷體" w:hAnsi="標楷體" w:hint="eastAsia"/>
                <w:sz w:val="22"/>
              </w:rPr>
              <w:t>設至少2公尺之自行車道與3公尺之人行空間。</w:t>
            </w:r>
          </w:p>
          <w:p w:rsidR="00C1784B" w:rsidRPr="00C1784B" w:rsidRDefault="00C1784B" w:rsidP="00C1784B">
            <w:pPr>
              <w:ind w:leftChars="14" w:left="465" w:hangingChars="196" w:hanging="431"/>
              <w:rPr>
                <w:rFonts w:ascii="標楷體" w:eastAsia="標楷體" w:hAnsi="標楷體"/>
                <w:sz w:val="22"/>
              </w:rPr>
            </w:pPr>
            <w:r w:rsidRPr="00C1784B">
              <w:rPr>
                <w:rFonts w:ascii="標楷體" w:eastAsia="標楷體" w:hAnsi="標楷體" w:hint="eastAsia"/>
                <w:sz w:val="22"/>
              </w:rPr>
              <w:t>(三)綠五、綠六、綠七等綠地用地除為保留原現況地下水井而劃設</w:t>
            </w:r>
            <w:r w:rsidRPr="00C1784B">
              <w:rPr>
                <w:rFonts w:ascii="標楷體" w:eastAsia="標楷體" w:hAnsi="標楷體" w:hint="eastAsia"/>
                <w:sz w:val="22"/>
              </w:rPr>
              <w:lastRenderedPageBreak/>
              <w:t>外，考量公共安全應予加蓋，為利進出及管理維護，其鄰接之住宅區、商業區應退縮5公尺建築，其退縮部分得計入為法定空地，不得設置圍牆，並應植栽綠化。</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c>
          <w:tcPr>
            <w:tcW w:w="1276" w:type="dxa"/>
            <w:vAlign w:val="center"/>
          </w:tcPr>
          <w:p w:rsidR="00C1784B" w:rsidRPr="000C37E3" w:rsidRDefault="00C1784B" w:rsidP="00C1784B">
            <w:pPr>
              <w:jc w:val="center"/>
              <w:rPr>
                <w:rFonts w:ascii="標楷體" w:eastAsia="標楷體" w:hAnsi="標楷體"/>
              </w:rPr>
            </w:pPr>
            <w:r>
              <w:rPr>
                <w:rFonts w:ascii="標楷體" w:eastAsia="標楷體" w:hAnsi="標楷體" w:hint="eastAsia"/>
              </w:rPr>
              <w:t>5</w:t>
            </w:r>
          </w:p>
        </w:tc>
        <w:tc>
          <w:tcPr>
            <w:tcW w:w="6946" w:type="dxa"/>
            <w:gridSpan w:val="4"/>
            <w:vAlign w:val="center"/>
          </w:tcPr>
          <w:p w:rsidR="00C1784B" w:rsidRPr="00C1784B" w:rsidRDefault="00C1784B" w:rsidP="00C1784B">
            <w:pPr>
              <w:ind w:left="425" w:hangingChars="193" w:hanging="425"/>
              <w:jc w:val="both"/>
              <w:rPr>
                <w:rFonts w:ascii="標楷體" w:eastAsia="標楷體" w:hAnsi="標楷體"/>
                <w:sz w:val="22"/>
              </w:rPr>
            </w:pPr>
            <w:r w:rsidRPr="00C1784B">
              <w:rPr>
                <w:rFonts w:ascii="標楷體" w:eastAsia="標楷體" w:hAnsi="標楷體" w:hint="eastAsia"/>
                <w:sz w:val="22"/>
              </w:rPr>
              <w:t>本計畫區之容積獎勵措施如下：</w:t>
            </w:r>
          </w:p>
          <w:p w:rsidR="00C1784B" w:rsidRPr="00C1784B" w:rsidRDefault="00C1784B" w:rsidP="00C1784B">
            <w:pPr>
              <w:ind w:left="425" w:hangingChars="193" w:hanging="425"/>
              <w:jc w:val="both"/>
              <w:rPr>
                <w:rFonts w:ascii="標楷體" w:eastAsia="標楷體" w:hAnsi="標楷體"/>
                <w:sz w:val="22"/>
              </w:rPr>
            </w:pPr>
            <w:r w:rsidRPr="00C1784B">
              <w:rPr>
                <w:rFonts w:ascii="標楷體" w:eastAsia="標楷體" w:hAnsi="標楷體" w:hint="eastAsia"/>
                <w:sz w:val="22"/>
              </w:rPr>
              <w:t>(</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)變更後建築基地不得適用「建築技術規則建築設計施工篇第十五章實施都市計畫區建築基地綜合設計」及「新竹縣建築物增設停車空間鼓勵要點」規定。</w:t>
            </w:r>
          </w:p>
          <w:p w:rsidR="00C1784B" w:rsidRPr="00C1784B" w:rsidRDefault="00C1784B" w:rsidP="00C1784B">
            <w:pPr>
              <w:ind w:left="425" w:hangingChars="193" w:hanging="425"/>
              <w:jc w:val="both"/>
              <w:rPr>
                <w:rFonts w:ascii="標楷體" w:eastAsia="標楷體" w:hAnsi="標楷體"/>
                <w:sz w:val="22"/>
              </w:rPr>
            </w:pPr>
            <w:r w:rsidRPr="00C1784B">
              <w:rPr>
                <w:rFonts w:ascii="標楷體" w:eastAsia="標楷體" w:hAnsi="標楷體" w:hint="eastAsia"/>
                <w:sz w:val="22"/>
              </w:rPr>
              <w:t>(二)建築物提供部分樓地板面積供下列使用者，得增加所提供之樓地板面積。但以不超過基地面積乘以該基地容積率之30%為限。</w:t>
            </w:r>
          </w:p>
          <w:p w:rsidR="00C1784B" w:rsidRPr="00C1784B" w:rsidRDefault="00C1784B" w:rsidP="00C1784B">
            <w:pPr>
              <w:ind w:leftChars="82" w:left="415" w:hangingChars="99" w:hanging="218"/>
              <w:jc w:val="both"/>
              <w:rPr>
                <w:rFonts w:ascii="標楷體" w:eastAsia="標楷體" w:hAnsi="標楷體"/>
                <w:sz w:val="22"/>
              </w:rPr>
            </w:pPr>
            <w:r w:rsidRPr="00C1784B">
              <w:rPr>
                <w:rFonts w:ascii="標楷體" w:eastAsia="標楷體" w:hAnsi="標楷體" w:hint="eastAsia"/>
                <w:sz w:val="22"/>
              </w:rPr>
              <w:t>1.私人捐獻或設置圖書館、博物館、藝術中心、兒童、青少年、勞工、老人等活動中心、景觀公共設施等供公眾使用；其集中留設之面積在100平方公尺以上，並經目的事業主管機關核准設立公益性基金管理營運者。</w:t>
            </w:r>
          </w:p>
          <w:p w:rsidR="00C1784B" w:rsidRPr="00C1784B" w:rsidRDefault="00C1784B" w:rsidP="00C1784B">
            <w:pPr>
              <w:ind w:leftChars="82" w:left="415" w:hangingChars="99" w:hanging="218"/>
              <w:jc w:val="both"/>
              <w:rPr>
                <w:rFonts w:ascii="標楷體" w:eastAsia="標楷體" w:hAnsi="標楷體"/>
                <w:sz w:val="22"/>
              </w:rPr>
            </w:pPr>
            <w:r w:rsidRPr="00C1784B">
              <w:rPr>
                <w:rFonts w:ascii="標楷體" w:eastAsia="標楷體" w:hAnsi="標楷體" w:hint="eastAsia"/>
                <w:sz w:val="22"/>
              </w:rPr>
              <w:t>2.建築物留設空間與人行地下道或架空走廊連接供公眾使用，經交通主管機關核准者。</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7C6173">
        <w:trPr>
          <w:trHeight w:val="4078"/>
        </w:trPr>
        <w:tc>
          <w:tcPr>
            <w:tcW w:w="1276" w:type="dxa"/>
            <w:vAlign w:val="center"/>
          </w:tcPr>
          <w:p w:rsidR="00C1784B" w:rsidRPr="000C37E3" w:rsidRDefault="00C1784B" w:rsidP="00C1784B">
            <w:pPr>
              <w:jc w:val="center"/>
              <w:rPr>
                <w:rFonts w:ascii="標楷體" w:eastAsia="標楷體" w:hAnsi="標楷體"/>
              </w:rPr>
            </w:pPr>
            <w:r>
              <w:rPr>
                <w:rFonts w:ascii="標楷體" w:eastAsia="標楷體" w:hAnsi="標楷體" w:hint="eastAsia"/>
              </w:rPr>
              <w:t>6</w:t>
            </w:r>
          </w:p>
        </w:tc>
        <w:tc>
          <w:tcPr>
            <w:tcW w:w="6946" w:type="dxa"/>
            <w:gridSpan w:val="4"/>
            <w:vAlign w:val="center"/>
          </w:tcPr>
          <w:p w:rsidR="00C1784B" w:rsidRPr="00C1784B" w:rsidRDefault="00C1784B" w:rsidP="00C1784B">
            <w:pPr>
              <w:ind w:left="2"/>
              <w:jc w:val="both"/>
              <w:rPr>
                <w:rFonts w:ascii="標楷體" w:eastAsia="標楷體" w:hAnsi="標楷體"/>
                <w:sz w:val="22"/>
              </w:rPr>
            </w:pPr>
            <w:r w:rsidRPr="00C1784B">
              <w:rPr>
                <w:rFonts w:ascii="標楷體" w:eastAsia="標楷體" w:hAnsi="標楷體" w:hint="eastAsia"/>
                <w:sz w:val="22"/>
              </w:rPr>
              <w:t>為解決竹東都市計畫區私有公共設施保留地問題，經提送新竹縣都市設計審議委員會審議通過者，得依都市計畫容積移轉實施辦法之規定作為接受基地，其可移入之容積，以不超過該接受基地基準容積之30%為原則，並依下列規定辦理。</w:t>
            </w:r>
          </w:p>
          <w:p w:rsidR="00C1784B" w:rsidRPr="00C1784B" w:rsidRDefault="00C1784B" w:rsidP="00C1784B">
            <w:pPr>
              <w:ind w:left="425" w:hangingChars="193" w:hanging="425"/>
              <w:jc w:val="both"/>
              <w:rPr>
                <w:rFonts w:ascii="標楷體" w:eastAsia="標楷體" w:hAnsi="標楷體"/>
                <w:sz w:val="22"/>
              </w:rPr>
            </w:pPr>
            <w:r w:rsidRPr="00C1784B">
              <w:rPr>
                <w:rFonts w:ascii="標楷體" w:eastAsia="標楷體" w:hAnsi="標楷體" w:hint="eastAsia"/>
                <w:sz w:val="22"/>
              </w:rPr>
              <w:t>(</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)接受基地：以本計畫區內之住宅區及商業區之可建築土地為限。</w:t>
            </w:r>
          </w:p>
          <w:p w:rsidR="00C1784B" w:rsidRPr="00C1784B" w:rsidRDefault="00C1784B" w:rsidP="00C1784B">
            <w:pPr>
              <w:ind w:left="425" w:hangingChars="193" w:hanging="425"/>
              <w:jc w:val="both"/>
              <w:rPr>
                <w:rFonts w:ascii="標楷體" w:eastAsia="標楷體" w:hAnsi="標楷體"/>
                <w:sz w:val="22"/>
              </w:rPr>
            </w:pPr>
            <w:r w:rsidRPr="00C1784B">
              <w:rPr>
                <w:rFonts w:ascii="標楷體" w:eastAsia="標楷體" w:hAnsi="標楷體" w:hint="eastAsia"/>
                <w:sz w:val="22"/>
              </w:rPr>
              <w:t>(二)送出基地：以竹東都市計畫區內之私有公共設施保留地為限，但不包括都市計畫書規定應以區段徵收、市地重劃或其他方式整體開發取得者。</w:t>
            </w:r>
          </w:p>
          <w:p w:rsidR="00C1784B" w:rsidRPr="00C1784B" w:rsidRDefault="00C1784B" w:rsidP="00C1784B">
            <w:pPr>
              <w:ind w:left="425" w:hangingChars="193" w:hanging="425"/>
              <w:jc w:val="both"/>
              <w:rPr>
                <w:rFonts w:ascii="標楷體" w:eastAsia="標楷體" w:hAnsi="標楷體"/>
                <w:sz w:val="22"/>
              </w:rPr>
            </w:pPr>
            <w:r w:rsidRPr="00C1784B">
              <w:rPr>
                <w:rFonts w:ascii="標楷體" w:eastAsia="標楷體" w:hAnsi="標楷體" w:hint="eastAsia"/>
                <w:sz w:val="22"/>
              </w:rPr>
              <w:t>(三)送出基地應於申請建造執照前，完成土地移轉程序，登記為新竹縣所有，始得核發建造執照。</w:t>
            </w:r>
          </w:p>
          <w:p w:rsidR="00C1784B" w:rsidRPr="00C1784B" w:rsidRDefault="00C1784B" w:rsidP="00C1784B">
            <w:pPr>
              <w:ind w:left="425" w:hangingChars="193" w:hanging="425"/>
              <w:jc w:val="both"/>
              <w:rPr>
                <w:sz w:val="22"/>
              </w:rPr>
            </w:pPr>
            <w:r w:rsidRPr="00C1784B">
              <w:rPr>
                <w:rFonts w:ascii="標楷體" w:eastAsia="標楷體" w:hAnsi="標楷體" w:hint="eastAsia"/>
                <w:sz w:val="22"/>
              </w:rPr>
              <w:t>(四)未規定事項，依「都市計畫容積移轉實施辦法」之規定辦理。</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rPr>
          <w:trHeight w:val="973"/>
        </w:trPr>
        <w:tc>
          <w:tcPr>
            <w:tcW w:w="1276" w:type="dxa"/>
            <w:vAlign w:val="center"/>
          </w:tcPr>
          <w:p w:rsidR="00C1784B" w:rsidRPr="000C37E3" w:rsidRDefault="00C1784B" w:rsidP="00C1784B">
            <w:pPr>
              <w:jc w:val="center"/>
              <w:rPr>
                <w:rFonts w:ascii="標楷體" w:eastAsia="標楷體" w:hAnsi="標楷體"/>
              </w:rPr>
            </w:pPr>
            <w:r>
              <w:rPr>
                <w:rFonts w:ascii="標楷體" w:eastAsia="標楷體" w:hAnsi="標楷體" w:hint="eastAsia"/>
              </w:rPr>
              <w:t>7</w:t>
            </w:r>
          </w:p>
        </w:tc>
        <w:tc>
          <w:tcPr>
            <w:tcW w:w="6946" w:type="dxa"/>
            <w:gridSpan w:val="4"/>
            <w:vAlign w:val="center"/>
          </w:tcPr>
          <w:p w:rsidR="00C1784B" w:rsidRPr="00C1784B" w:rsidRDefault="00C1784B" w:rsidP="00C1784B">
            <w:pPr>
              <w:rPr>
                <w:sz w:val="22"/>
              </w:rPr>
            </w:pPr>
            <w:r w:rsidRPr="00C1784B">
              <w:rPr>
                <w:rFonts w:ascii="標楷體" w:eastAsia="標楷體" w:hAnsi="標楷體" w:hint="eastAsia"/>
                <w:sz w:val="22"/>
              </w:rPr>
              <w:t>本要點第六點之容積獎勵及第七點之容積移轉之總和，不得超過基地面積乘以容積率之50%。</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rPr>
          <w:trHeight w:val="1380"/>
        </w:trPr>
        <w:tc>
          <w:tcPr>
            <w:tcW w:w="1276" w:type="dxa"/>
            <w:vAlign w:val="center"/>
          </w:tcPr>
          <w:p w:rsidR="00C1784B" w:rsidRDefault="007C6173" w:rsidP="00C1784B">
            <w:pPr>
              <w:jc w:val="center"/>
              <w:rPr>
                <w:rFonts w:ascii="標楷體" w:eastAsia="標楷體" w:hAnsi="標楷體"/>
              </w:rPr>
            </w:pPr>
            <w:r>
              <w:rPr>
                <w:rFonts w:ascii="標楷體" w:eastAsia="標楷體" w:hAnsi="標楷體" w:hint="eastAsia"/>
              </w:rPr>
              <w:t>8</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本計畫區住宅區及商業區如有地下室開挖之必要者，地下一層應自最小退縮建築距離後，始得開挖建築；</w:t>
            </w:r>
            <w:proofErr w:type="gramStart"/>
            <w:r w:rsidRPr="00C1784B">
              <w:rPr>
                <w:rFonts w:ascii="標楷體" w:eastAsia="標楷體" w:hAnsi="標楷體" w:hint="eastAsia"/>
                <w:sz w:val="22"/>
              </w:rPr>
              <w:t>如屬角地</w:t>
            </w:r>
            <w:proofErr w:type="gramEnd"/>
            <w:r w:rsidRPr="00C1784B">
              <w:rPr>
                <w:rFonts w:ascii="標楷體" w:eastAsia="標楷體" w:hAnsi="標楷體" w:hint="eastAsia"/>
                <w:sz w:val="22"/>
              </w:rPr>
              <w:t>，應以較寬道路為退縮面，兩面道路寬度相同者，擇</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退縮，</w:t>
            </w:r>
            <w:proofErr w:type="gramStart"/>
            <w:r w:rsidRPr="00C1784B">
              <w:rPr>
                <w:rFonts w:ascii="標楷體" w:eastAsia="標楷體" w:hAnsi="標楷體" w:hint="eastAsia"/>
                <w:sz w:val="22"/>
              </w:rPr>
              <w:t>以利植栽</w:t>
            </w:r>
            <w:proofErr w:type="gramEnd"/>
            <w:r w:rsidRPr="00C1784B">
              <w:rPr>
                <w:rFonts w:ascii="標楷體" w:eastAsia="標楷體" w:hAnsi="標楷體" w:hint="eastAsia"/>
                <w:sz w:val="22"/>
              </w:rPr>
              <w:t>綠化及透水。</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EC7316">
        <w:trPr>
          <w:trHeight w:val="1155"/>
        </w:trPr>
        <w:tc>
          <w:tcPr>
            <w:tcW w:w="1276" w:type="dxa"/>
            <w:vAlign w:val="center"/>
          </w:tcPr>
          <w:p w:rsidR="00C1784B" w:rsidRDefault="007C6173" w:rsidP="00C1784B">
            <w:pPr>
              <w:jc w:val="center"/>
              <w:rPr>
                <w:rFonts w:ascii="標楷體" w:eastAsia="標楷體" w:hAnsi="標楷體"/>
              </w:rPr>
            </w:pPr>
            <w:r>
              <w:rPr>
                <w:rFonts w:ascii="標楷體" w:eastAsia="標楷體" w:hAnsi="標楷體" w:hint="eastAsia"/>
              </w:rPr>
              <w:t>9</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建築基地內所留設法定空地應植栽綠化，其綠覆比例應達50％以上，並依「新竹縣建築基地綠化實施辦法」辦理，且應考慮防災與緊急救護通行之需求。</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EC7316">
        <w:trPr>
          <w:trHeight w:val="557"/>
        </w:trPr>
        <w:tc>
          <w:tcPr>
            <w:tcW w:w="1276" w:type="dxa"/>
            <w:vAlign w:val="center"/>
          </w:tcPr>
          <w:p w:rsidR="00C1784B" w:rsidRPr="00EC7316" w:rsidRDefault="00C1784B" w:rsidP="00C1784B">
            <w:pPr>
              <w:jc w:val="center"/>
              <w:rPr>
                <w:rFonts w:ascii="標楷體" w:eastAsia="標楷體" w:hAnsi="標楷體"/>
                <w:b/>
              </w:rPr>
            </w:pPr>
            <w:r w:rsidRPr="00EC7316">
              <w:rPr>
                <w:rFonts w:ascii="標楷體" w:eastAsia="標楷體" w:hAnsi="標楷體" w:hint="eastAsia"/>
                <w:b/>
              </w:rPr>
              <w:t>項次</w:t>
            </w:r>
          </w:p>
        </w:tc>
        <w:tc>
          <w:tcPr>
            <w:tcW w:w="6946" w:type="dxa"/>
            <w:gridSpan w:val="4"/>
            <w:vAlign w:val="center"/>
          </w:tcPr>
          <w:p w:rsidR="00C1784B" w:rsidRPr="00EC7316" w:rsidRDefault="00C1784B" w:rsidP="00C1784B">
            <w:pPr>
              <w:jc w:val="center"/>
              <w:rPr>
                <w:rFonts w:ascii="標楷體" w:eastAsia="標楷體" w:hAnsi="標楷體"/>
                <w:b/>
                <w:sz w:val="22"/>
              </w:rPr>
            </w:pPr>
            <w:r w:rsidRPr="00EC7316">
              <w:rPr>
                <w:rFonts w:ascii="標楷體" w:eastAsia="標楷體" w:hAnsi="標楷體" w:hint="eastAsia"/>
                <w:b/>
                <w:sz w:val="22"/>
              </w:rPr>
              <w:t>都市設計原則</w:t>
            </w:r>
          </w:p>
        </w:tc>
        <w:tc>
          <w:tcPr>
            <w:tcW w:w="3119" w:type="dxa"/>
            <w:gridSpan w:val="3"/>
            <w:vAlign w:val="center"/>
          </w:tcPr>
          <w:p w:rsidR="00C1784B" w:rsidRPr="00EC7316" w:rsidRDefault="00C1784B" w:rsidP="00C1784B">
            <w:pPr>
              <w:jc w:val="center"/>
              <w:rPr>
                <w:rFonts w:ascii="標楷體" w:eastAsia="標楷體" w:hAnsi="標楷體"/>
                <w:b/>
                <w:sz w:val="22"/>
              </w:rPr>
            </w:pPr>
            <w:r w:rsidRPr="00EC7316">
              <w:rPr>
                <w:rFonts w:ascii="標楷體" w:eastAsia="標楷體" w:hAnsi="標楷體" w:hint="eastAsia"/>
                <w:b/>
                <w:sz w:val="22"/>
              </w:rPr>
              <w:t>開發及設計說明</w:t>
            </w:r>
          </w:p>
        </w:tc>
        <w:tc>
          <w:tcPr>
            <w:tcW w:w="1842" w:type="dxa"/>
            <w:gridSpan w:val="3"/>
            <w:vAlign w:val="center"/>
          </w:tcPr>
          <w:p w:rsidR="00C1784B" w:rsidRPr="00EC7316" w:rsidRDefault="00C1784B" w:rsidP="00C1784B">
            <w:pPr>
              <w:jc w:val="center"/>
              <w:rPr>
                <w:rFonts w:ascii="標楷體" w:eastAsia="標楷體" w:hAnsi="標楷體"/>
                <w:b/>
                <w:sz w:val="22"/>
              </w:rPr>
            </w:pPr>
            <w:r w:rsidRPr="00EC7316">
              <w:rPr>
                <w:rFonts w:ascii="標楷體" w:eastAsia="標楷體" w:hAnsi="標楷體" w:hint="eastAsia"/>
                <w:b/>
                <w:sz w:val="22"/>
              </w:rPr>
              <w:t>條件符合</w:t>
            </w:r>
          </w:p>
        </w:tc>
        <w:tc>
          <w:tcPr>
            <w:tcW w:w="1418" w:type="dxa"/>
            <w:vAlign w:val="center"/>
          </w:tcPr>
          <w:p w:rsidR="00C1784B" w:rsidRPr="00EC7316" w:rsidRDefault="00C1784B" w:rsidP="00C1784B">
            <w:pPr>
              <w:jc w:val="center"/>
              <w:rPr>
                <w:rFonts w:ascii="標楷體" w:eastAsia="標楷體" w:hAnsi="標楷體"/>
                <w:b/>
                <w:sz w:val="22"/>
              </w:rPr>
            </w:pPr>
            <w:r w:rsidRPr="00EC7316">
              <w:rPr>
                <w:rFonts w:ascii="標楷體" w:eastAsia="標楷體" w:hAnsi="標楷體" w:hint="eastAsia"/>
                <w:b/>
                <w:sz w:val="22"/>
              </w:rPr>
              <w:t>備註</w:t>
            </w:r>
          </w:p>
        </w:tc>
      </w:tr>
      <w:tr w:rsidR="00C1784B" w:rsidRPr="00C1784B" w:rsidTr="00C1784B">
        <w:tc>
          <w:tcPr>
            <w:tcW w:w="1276" w:type="dxa"/>
            <w:vAlign w:val="center"/>
          </w:tcPr>
          <w:p w:rsidR="00C1784B" w:rsidRDefault="00C1784B" w:rsidP="00C1784B">
            <w:pPr>
              <w:jc w:val="center"/>
              <w:rPr>
                <w:rFonts w:ascii="標楷體" w:eastAsia="標楷體" w:hAnsi="標楷體"/>
              </w:rPr>
            </w:pPr>
            <w:r>
              <w:rPr>
                <w:rFonts w:ascii="標楷體" w:eastAsia="標楷體" w:hAnsi="標楷體" w:hint="eastAsia"/>
              </w:rPr>
              <w:t>1</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公共開放空間設計原則</w:t>
            </w:r>
            <w:r w:rsidRPr="00C1784B">
              <w:rPr>
                <w:rFonts w:ascii="新細明體" w:eastAsia="新細明體" w:hAnsi="新細明體" w:hint="eastAsia"/>
                <w:sz w:val="22"/>
              </w:rPr>
              <w:t>：</w:t>
            </w:r>
          </w:p>
          <w:p w:rsidR="00C1784B" w:rsidRPr="00C1784B" w:rsidRDefault="00C1784B" w:rsidP="00C1784B">
            <w:pPr>
              <w:pStyle w:val="a8"/>
              <w:numPr>
                <w:ilvl w:val="0"/>
                <w:numId w:val="2"/>
              </w:numPr>
              <w:ind w:leftChars="0"/>
              <w:rPr>
                <w:rFonts w:ascii="標楷體" w:eastAsia="標楷體" w:hAnsi="標楷體"/>
                <w:sz w:val="22"/>
              </w:rPr>
            </w:pPr>
            <w:r w:rsidRPr="00C1784B">
              <w:rPr>
                <w:rFonts w:ascii="標楷體" w:eastAsia="標楷體" w:hAnsi="標楷體" w:hint="eastAsia"/>
                <w:sz w:val="22"/>
              </w:rPr>
              <w:t>本計畫區除道路用地及停車場必要出入動線外，其餘公共設施用地之主要</w:t>
            </w:r>
            <w:proofErr w:type="gramStart"/>
            <w:r w:rsidRPr="00C1784B">
              <w:rPr>
                <w:rFonts w:ascii="標楷體" w:eastAsia="標楷體" w:hAnsi="標楷體" w:hint="eastAsia"/>
                <w:sz w:val="22"/>
              </w:rPr>
              <w:t>舖</w:t>
            </w:r>
            <w:proofErr w:type="gramEnd"/>
            <w:r w:rsidRPr="00C1784B">
              <w:rPr>
                <w:rFonts w:ascii="標楷體" w:eastAsia="標楷體" w:hAnsi="標楷體" w:hint="eastAsia"/>
                <w:sz w:val="22"/>
              </w:rPr>
              <w:t>面應</w:t>
            </w:r>
            <w:proofErr w:type="gramStart"/>
            <w:r w:rsidRPr="00C1784B">
              <w:rPr>
                <w:rFonts w:ascii="標楷體" w:eastAsia="標楷體" w:hAnsi="標楷體" w:hint="eastAsia"/>
                <w:sz w:val="22"/>
              </w:rPr>
              <w:t>採用透水舖</w:t>
            </w:r>
            <w:proofErr w:type="gramEnd"/>
            <w:r w:rsidRPr="00C1784B">
              <w:rPr>
                <w:rFonts w:ascii="標楷體" w:eastAsia="標楷體" w:hAnsi="標楷體" w:hint="eastAsia"/>
                <w:sz w:val="22"/>
              </w:rPr>
              <w:t>面等保水設計，且</w:t>
            </w:r>
            <w:proofErr w:type="gramStart"/>
            <w:r w:rsidRPr="00C1784B">
              <w:rPr>
                <w:rFonts w:ascii="標楷體" w:eastAsia="標楷體" w:hAnsi="標楷體" w:hint="eastAsia"/>
                <w:sz w:val="22"/>
              </w:rPr>
              <w:t>舖</w:t>
            </w:r>
            <w:proofErr w:type="gramEnd"/>
            <w:r w:rsidRPr="00C1784B">
              <w:rPr>
                <w:rFonts w:ascii="標楷體" w:eastAsia="標楷體" w:hAnsi="標楷體" w:hint="eastAsia"/>
                <w:sz w:val="22"/>
              </w:rPr>
              <w:t>面造型與色彩應加以變化排列。</w:t>
            </w:r>
          </w:p>
          <w:p w:rsidR="00C1784B" w:rsidRPr="00C1784B" w:rsidRDefault="00C1784B" w:rsidP="00C1784B">
            <w:pPr>
              <w:pStyle w:val="a8"/>
              <w:numPr>
                <w:ilvl w:val="0"/>
                <w:numId w:val="2"/>
              </w:numPr>
              <w:ind w:leftChars="0"/>
              <w:rPr>
                <w:rFonts w:ascii="標楷體" w:eastAsia="標楷體" w:hAnsi="標楷體"/>
                <w:sz w:val="22"/>
              </w:rPr>
            </w:pPr>
            <w:r w:rsidRPr="00C1784B">
              <w:rPr>
                <w:rFonts w:ascii="標楷體" w:eastAsia="標楷體" w:hAnsi="標楷體" w:hint="eastAsia"/>
                <w:sz w:val="22"/>
              </w:rPr>
              <w:t>建築基地依土地使用分區管制要點所應退縮部分，應與相鄰之計畫道路設施帶、廣場用地、建築物出入口、</w:t>
            </w:r>
            <w:proofErr w:type="gramStart"/>
            <w:r w:rsidRPr="00C1784B">
              <w:rPr>
                <w:rFonts w:ascii="標楷體" w:eastAsia="標楷體" w:hAnsi="標楷體" w:hint="eastAsia"/>
                <w:sz w:val="22"/>
              </w:rPr>
              <w:t>同街廓</w:t>
            </w:r>
            <w:proofErr w:type="gramEnd"/>
            <w:r w:rsidRPr="00C1784B">
              <w:rPr>
                <w:rFonts w:ascii="標楷體" w:eastAsia="標楷體" w:hAnsi="標楷體" w:hint="eastAsia"/>
                <w:sz w:val="22"/>
              </w:rPr>
              <w:t>其他建築基地之退縮部分達成良好聯繫為原則。</w:t>
            </w:r>
          </w:p>
          <w:p w:rsidR="00C1784B" w:rsidRPr="00C1784B" w:rsidRDefault="00C1784B" w:rsidP="00C1784B">
            <w:pPr>
              <w:pStyle w:val="a8"/>
              <w:numPr>
                <w:ilvl w:val="0"/>
                <w:numId w:val="2"/>
              </w:numPr>
              <w:ind w:leftChars="0"/>
              <w:rPr>
                <w:rFonts w:ascii="標楷體" w:eastAsia="標楷體" w:hAnsi="標楷體"/>
                <w:sz w:val="22"/>
              </w:rPr>
            </w:pPr>
            <w:r w:rsidRPr="00C1784B">
              <w:rPr>
                <w:rFonts w:ascii="標楷體" w:eastAsia="標楷體" w:hAnsi="標楷體" w:hint="eastAsia"/>
                <w:sz w:val="22"/>
              </w:rPr>
              <w:t>本計畫區內相鄰之各開放空間應相互配合設計，其</w:t>
            </w:r>
            <w:proofErr w:type="gramStart"/>
            <w:r w:rsidRPr="00C1784B">
              <w:rPr>
                <w:rFonts w:ascii="標楷體" w:eastAsia="標楷體" w:hAnsi="標楷體" w:hint="eastAsia"/>
                <w:sz w:val="22"/>
              </w:rPr>
              <w:t>舖</w:t>
            </w:r>
            <w:proofErr w:type="gramEnd"/>
            <w:r w:rsidRPr="00C1784B">
              <w:rPr>
                <w:rFonts w:ascii="標楷體" w:eastAsia="標楷體" w:hAnsi="標楷體" w:hint="eastAsia"/>
                <w:sz w:val="22"/>
              </w:rPr>
              <w:t>面高程應</w:t>
            </w:r>
            <w:proofErr w:type="gramStart"/>
            <w:r w:rsidRPr="00C1784B">
              <w:rPr>
                <w:rFonts w:ascii="標楷體" w:eastAsia="標楷體" w:hAnsi="標楷體" w:hint="eastAsia"/>
                <w:sz w:val="22"/>
              </w:rPr>
              <w:t>採順接</w:t>
            </w:r>
            <w:proofErr w:type="gramEnd"/>
            <w:r w:rsidRPr="00C1784B">
              <w:rPr>
                <w:rFonts w:ascii="標楷體" w:eastAsia="標楷體" w:hAnsi="標楷體" w:hint="eastAsia"/>
                <w:sz w:val="22"/>
              </w:rPr>
              <w:t>處理。</w:t>
            </w:r>
          </w:p>
          <w:p w:rsidR="00C1784B" w:rsidRPr="00C1784B" w:rsidRDefault="00C1784B" w:rsidP="00C1784B">
            <w:pPr>
              <w:pStyle w:val="a8"/>
              <w:numPr>
                <w:ilvl w:val="0"/>
                <w:numId w:val="2"/>
              </w:numPr>
              <w:ind w:leftChars="0"/>
              <w:rPr>
                <w:rFonts w:ascii="標楷體" w:eastAsia="標楷體" w:hAnsi="標楷體"/>
                <w:sz w:val="22"/>
              </w:rPr>
            </w:pPr>
            <w:r w:rsidRPr="00C1784B">
              <w:rPr>
                <w:rFonts w:ascii="標楷體" w:eastAsia="標楷體" w:hAnsi="標楷體" w:hint="eastAsia"/>
                <w:sz w:val="22"/>
              </w:rPr>
              <w:t>停車場用地於規劃設計時應考量大型車位及小型車位複合使用，以因應未來發展所需。</w:t>
            </w:r>
          </w:p>
          <w:p w:rsidR="00C1784B" w:rsidRPr="00C1784B" w:rsidRDefault="00C1784B" w:rsidP="00C1784B">
            <w:pPr>
              <w:pStyle w:val="a8"/>
              <w:numPr>
                <w:ilvl w:val="0"/>
                <w:numId w:val="2"/>
              </w:numPr>
              <w:ind w:leftChars="0"/>
              <w:rPr>
                <w:rFonts w:ascii="標楷體" w:eastAsia="標楷體" w:hAnsi="標楷體"/>
                <w:sz w:val="22"/>
              </w:rPr>
            </w:pPr>
            <w:r w:rsidRPr="00C1784B">
              <w:rPr>
                <w:rFonts w:ascii="標楷體" w:eastAsia="標楷體" w:hAnsi="標楷體" w:hint="eastAsia"/>
                <w:sz w:val="22"/>
              </w:rPr>
              <w:t>為節省水資源，本計畫區之內之鄰里公園兼兒童遊樂場用地、綠地用地、停車場用地應優先引用污水處理設施處理後之回收水作為澆灌使用為原則。</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c>
          <w:tcPr>
            <w:tcW w:w="1276" w:type="dxa"/>
            <w:vAlign w:val="center"/>
          </w:tcPr>
          <w:p w:rsidR="00C1784B" w:rsidRDefault="00C1784B" w:rsidP="00C1784B">
            <w:pPr>
              <w:jc w:val="center"/>
              <w:rPr>
                <w:rFonts w:ascii="標楷體" w:eastAsia="標楷體" w:hAnsi="標楷體"/>
              </w:rPr>
            </w:pPr>
            <w:r>
              <w:rPr>
                <w:rFonts w:ascii="標楷體" w:eastAsia="標楷體" w:hAnsi="標楷體" w:hint="eastAsia"/>
              </w:rPr>
              <w:t>2</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人行地下道及架空走廊之設計原則</w:t>
            </w:r>
            <w:r w:rsidRPr="00C1784B">
              <w:rPr>
                <w:rFonts w:ascii="新細明體" w:eastAsia="新細明體" w:hAnsi="新細明體" w:hint="eastAsia"/>
                <w:sz w:val="22"/>
              </w:rPr>
              <w:t>：</w:t>
            </w:r>
          </w:p>
          <w:p w:rsidR="00C1784B" w:rsidRPr="00C1784B" w:rsidRDefault="00C1784B" w:rsidP="00C1784B">
            <w:pPr>
              <w:pStyle w:val="a8"/>
              <w:numPr>
                <w:ilvl w:val="0"/>
                <w:numId w:val="3"/>
              </w:numPr>
              <w:ind w:leftChars="0"/>
              <w:rPr>
                <w:rFonts w:ascii="標楷體" w:eastAsia="標楷體" w:hAnsi="標楷體"/>
                <w:sz w:val="22"/>
              </w:rPr>
            </w:pPr>
            <w:proofErr w:type="gramStart"/>
            <w:r w:rsidRPr="00C1784B">
              <w:rPr>
                <w:rFonts w:ascii="標楷體" w:eastAsia="標楷體" w:hAnsi="標楷體" w:hint="eastAsia"/>
                <w:sz w:val="22"/>
              </w:rPr>
              <w:t>建築物間得設置</w:t>
            </w:r>
            <w:proofErr w:type="gramEnd"/>
            <w:r w:rsidRPr="00C1784B">
              <w:rPr>
                <w:rFonts w:ascii="標楷體" w:eastAsia="標楷體" w:hAnsi="標楷體" w:hint="eastAsia"/>
                <w:sz w:val="22"/>
              </w:rPr>
              <w:t>供公眾使用之人行地下道及架空走廊（同一街廓內或跨計畫道路式），得</w:t>
            </w:r>
            <w:proofErr w:type="gramStart"/>
            <w:r w:rsidRPr="00C1784B">
              <w:rPr>
                <w:rFonts w:ascii="標楷體" w:eastAsia="標楷體" w:hAnsi="標楷體" w:hint="eastAsia"/>
                <w:sz w:val="22"/>
              </w:rPr>
              <w:t>不計入建蔽</w:t>
            </w:r>
            <w:proofErr w:type="gramEnd"/>
            <w:r w:rsidRPr="00C1784B">
              <w:rPr>
                <w:rFonts w:ascii="標楷體" w:eastAsia="標楷體" w:hAnsi="標楷體" w:hint="eastAsia"/>
                <w:sz w:val="22"/>
              </w:rPr>
              <w:t>率及容積率。</w:t>
            </w:r>
          </w:p>
          <w:p w:rsidR="00C1784B" w:rsidRPr="00C1784B" w:rsidRDefault="00C1784B" w:rsidP="00C1784B">
            <w:pPr>
              <w:pStyle w:val="a8"/>
              <w:numPr>
                <w:ilvl w:val="0"/>
                <w:numId w:val="3"/>
              </w:numPr>
              <w:ind w:leftChars="0"/>
              <w:rPr>
                <w:rFonts w:ascii="標楷體" w:eastAsia="標楷體" w:hAnsi="標楷體"/>
                <w:sz w:val="22"/>
              </w:rPr>
            </w:pPr>
            <w:r w:rsidRPr="00C1784B">
              <w:rPr>
                <w:rFonts w:ascii="標楷體" w:eastAsia="標楷體" w:hAnsi="標楷體" w:hint="eastAsia"/>
                <w:sz w:val="22"/>
              </w:rPr>
              <w:t>地下道出入口應留設面積25平方公尺以上之小型廣場（自車道邊緣向內計算不得小於4公尺）作為人行動線之過渡緩衝空間。</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rPr>
          <w:trHeight w:val="2305"/>
        </w:trPr>
        <w:tc>
          <w:tcPr>
            <w:tcW w:w="1276" w:type="dxa"/>
            <w:vAlign w:val="center"/>
          </w:tcPr>
          <w:p w:rsidR="00C1784B" w:rsidRDefault="00C1784B" w:rsidP="00C1784B">
            <w:pPr>
              <w:jc w:val="center"/>
              <w:rPr>
                <w:rFonts w:ascii="標楷體" w:eastAsia="標楷體" w:hAnsi="標楷體"/>
              </w:rPr>
            </w:pPr>
            <w:r>
              <w:rPr>
                <w:rFonts w:ascii="標楷體" w:eastAsia="標楷體" w:hAnsi="標楷體" w:hint="eastAsia"/>
              </w:rPr>
              <w:lastRenderedPageBreak/>
              <w:t>3</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圍牆設置原則</w:t>
            </w:r>
            <w:r w:rsidRPr="00C1784B">
              <w:rPr>
                <w:rFonts w:ascii="新細明體" w:eastAsia="新細明體" w:hAnsi="新細明體" w:hint="eastAsia"/>
                <w:sz w:val="22"/>
              </w:rPr>
              <w:t>：</w:t>
            </w:r>
          </w:p>
          <w:p w:rsidR="00C1784B" w:rsidRPr="00C1784B" w:rsidRDefault="00C1784B" w:rsidP="00C1784B">
            <w:pPr>
              <w:pStyle w:val="a8"/>
              <w:numPr>
                <w:ilvl w:val="0"/>
                <w:numId w:val="4"/>
              </w:numPr>
              <w:ind w:leftChars="0"/>
              <w:rPr>
                <w:rFonts w:ascii="標楷體" w:eastAsia="標楷體" w:hAnsi="標楷體"/>
                <w:sz w:val="22"/>
              </w:rPr>
            </w:pPr>
            <w:r w:rsidRPr="00C1784B">
              <w:rPr>
                <w:rFonts w:ascii="標楷體" w:eastAsia="標楷體" w:hAnsi="標楷體" w:hint="eastAsia"/>
                <w:sz w:val="22"/>
              </w:rPr>
              <w:t>本計畫區指定最小建築退縮部分不得設置圍牆。</w:t>
            </w:r>
          </w:p>
          <w:p w:rsidR="00C1784B" w:rsidRPr="00C1784B" w:rsidRDefault="00C1784B" w:rsidP="00C1784B">
            <w:pPr>
              <w:pStyle w:val="a8"/>
              <w:numPr>
                <w:ilvl w:val="0"/>
                <w:numId w:val="4"/>
              </w:numPr>
              <w:ind w:leftChars="0"/>
              <w:rPr>
                <w:rFonts w:ascii="標楷體" w:eastAsia="標楷體" w:hAnsi="標楷體"/>
                <w:sz w:val="22"/>
              </w:rPr>
            </w:pPr>
            <w:r w:rsidRPr="00C1784B">
              <w:rPr>
                <w:rFonts w:ascii="標楷體" w:eastAsia="標楷體" w:hAnsi="標楷體" w:hint="eastAsia"/>
                <w:sz w:val="22"/>
              </w:rPr>
              <w:t>本計畫區建築基地除前款規定外之其他部分得設置圍牆，如設置圍牆者，其圍牆</w:t>
            </w:r>
            <w:proofErr w:type="gramStart"/>
            <w:r w:rsidRPr="00C1784B">
              <w:rPr>
                <w:rFonts w:ascii="標楷體" w:eastAsia="標楷體" w:hAnsi="標楷體" w:hint="eastAsia"/>
                <w:sz w:val="22"/>
              </w:rPr>
              <w:t>透空率不得</w:t>
            </w:r>
            <w:proofErr w:type="gramEnd"/>
            <w:r w:rsidRPr="00C1784B">
              <w:rPr>
                <w:rFonts w:ascii="標楷體" w:eastAsia="標楷體" w:hAnsi="標楷體" w:hint="eastAsia"/>
                <w:sz w:val="22"/>
              </w:rPr>
              <w:t>小於70%，</w:t>
            </w:r>
            <w:proofErr w:type="gramStart"/>
            <w:r w:rsidRPr="00C1784B">
              <w:rPr>
                <w:rFonts w:ascii="標楷體" w:eastAsia="標楷體" w:hAnsi="標楷體" w:hint="eastAsia"/>
                <w:sz w:val="22"/>
              </w:rPr>
              <w:t>牆基高度</w:t>
            </w:r>
            <w:proofErr w:type="gramEnd"/>
            <w:r w:rsidRPr="00C1784B">
              <w:rPr>
                <w:rFonts w:ascii="標楷體" w:eastAsia="標楷體" w:hAnsi="標楷體" w:hint="eastAsia"/>
                <w:sz w:val="22"/>
              </w:rPr>
              <w:t>不得大於45公分，且圍牆總高度不得大於1.5公尺，圍牆</w:t>
            </w:r>
            <w:proofErr w:type="gramStart"/>
            <w:r w:rsidRPr="00C1784B">
              <w:rPr>
                <w:rFonts w:ascii="標楷體" w:eastAsia="標楷體" w:hAnsi="標楷體" w:hint="eastAsia"/>
                <w:sz w:val="22"/>
              </w:rPr>
              <w:t>採</w:t>
            </w:r>
            <w:proofErr w:type="gramEnd"/>
            <w:r w:rsidRPr="00C1784B">
              <w:rPr>
                <w:rFonts w:ascii="標楷體" w:eastAsia="標楷體" w:hAnsi="標楷體" w:hint="eastAsia"/>
                <w:sz w:val="22"/>
              </w:rPr>
              <w:t>綠籬代替，則不</w:t>
            </w:r>
            <w:proofErr w:type="gramStart"/>
            <w:r w:rsidRPr="00C1784B">
              <w:rPr>
                <w:rFonts w:ascii="標楷體" w:eastAsia="標楷體" w:hAnsi="標楷體" w:hint="eastAsia"/>
                <w:sz w:val="22"/>
              </w:rPr>
              <w:t>受透空率</w:t>
            </w:r>
            <w:proofErr w:type="gramEnd"/>
            <w:r w:rsidRPr="00C1784B">
              <w:rPr>
                <w:rFonts w:ascii="標楷體" w:eastAsia="標楷體" w:hAnsi="標楷體" w:hint="eastAsia"/>
                <w:sz w:val="22"/>
              </w:rPr>
              <w:t>之限制，然高度亦不得大於1.5公尺。</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c>
          <w:tcPr>
            <w:tcW w:w="1276" w:type="dxa"/>
            <w:vAlign w:val="center"/>
          </w:tcPr>
          <w:p w:rsidR="00C1784B" w:rsidRDefault="00C1784B" w:rsidP="00C1784B">
            <w:pPr>
              <w:jc w:val="center"/>
              <w:rPr>
                <w:rFonts w:ascii="標楷體" w:eastAsia="標楷體" w:hAnsi="標楷體"/>
              </w:rPr>
            </w:pPr>
            <w:r>
              <w:rPr>
                <w:rFonts w:ascii="標楷體" w:eastAsia="標楷體" w:hAnsi="標楷體" w:hint="eastAsia"/>
              </w:rPr>
              <w:t>4</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建築物之高度設計原則</w:t>
            </w:r>
            <w:r w:rsidRPr="00C1784B">
              <w:rPr>
                <w:rFonts w:ascii="新細明體" w:eastAsia="新細明體" w:hAnsi="新細明體" w:hint="eastAsia"/>
                <w:sz w:val="22"/>
              </w:rPr>
              <w:t>：</w:t>
            </w:r>
          </w:p>
          <w:p w:rsidR="00C1784B" w:rsidRPr="00C1784B" w:rsidRDefault="00C1784B" w:rsidP="00C1784B">
            <w:pPr>
              <w:pStyle w:val="a8"/>
              <w:numPr>
                <w:ilvl w:val="0"/>
                <w:numId w:val="5"/>
              </w:numPr>
              <w:ind w:leftChars="0"/>
              <w:rPr>
                <w:rFonts w:ascii="標楷體" w:eastAsia="標楷體" w:hAnsi="標楷體"/>
                <w:sz w:val="22"/>
              </w:rPr>
            </w:pPr>
            <w:r w:rsidRPr="00C1784B">
              <w:rPr>
                <w:rFonts w:ascii="標楷體" w:eastAsia="標楷體" w:hAnsi="標楷體" w:hint="eastAsia"/>
                <w:sz w:val="22"/>
              </w:rPr>
              <w:t>臨編號5-24、5-25道路且面對鄰里公園兼兒童遊樂場用地【公(兒)五】之住宅區第一排建築物高度以不得大於30公尺為原則。</w:t>
            </w:r>
          </w:p>
          <w:p w:rsidR="00C1784B" w:rsidRPr="00C1784B" w:rsidRDefault="00C1784B" w:rsidP="00C1784B">
            <w:pPr>
              <w:pStyle w:val="a8"/>
              <w:numPr>
                <w:ilvl w:val="0"/>
                <w:numId w:val="5"/>
              </w:numPr>
              <w:ind w:leftChars="0"/>
              <w:rPr>
                <w:rFonts w:ascii="標楷體" w:eastAsia="標楷體" w:hAnsi="標楷體"/>
                <w:sz w:val="22"/>
              </w:rPr>
            </w:pPr>
            <w:r w:rsidRPr="00C1784B">
              <w:rPr>
                <w:rFonts w:ascii="標楷體" w:eastAsia="標楷體" w:hAnsi="標楷體" w:hint="eastAsia"/>
                <w:sz w:val="22"/>
              </w:rPr>
              <w:t>臨廣場用地之商業區第一排建築物高度以不得大於20公尺為原則。</w:t>
            </w:r>
          </w:p>
          <w:p w:rsidR="00C1784B" w:rsidRPr="00C1784B" w:rsidRDefault="00C1784B" w:rsidP="00C1784B">
            <w:pPr>
              <w:pStyle w:val="a8"/>
              <w:numPr>
                <w:ilvl w:val="0"/>
                <w:numId w:val="5"/>
              </w:numPr>
              <w:ind w:leftChars="0"/>
              <w:rPr>
                <w:rFonts w:ascii="標楷體" w:eastAsia="標楷體" w:hAnsi="標楷體"/>
                <w:sz w:val="22"/>
              </w:rPr>
            </w:pPr>
            <w:r w:rsidRPr="00C1784B">
              <w:rPr>
                <w:rFonts w:ascii="標楷體" w:eastAsia="標楷體" w:hAnsi="標楷體" w:hint="eastAsia"/>
                <w:sz w:val="22"/>
              </w:rPr>
              <w:t>前述第一排建築物之認定依新竹縣都市設計審議委員會審議結果為</w:t>
            </w:r>
            <w:proofErr w:type="gramStart"/>
            <w:r w:rsidRPr="00C1784B">
              <w:rPr>
                <w:rFonts w:ascii="標楷體" w:eastAsia="標楷體" w:hAnsi="標楷體" w:hint="eastAsia"/>
                <w:sz w:val="22"/>
              </w:rPr>
              <w:t>準</w:t>
            </w:r>
            <w:proofErr w:type="gramEnd"/>
            <w:r w:rsidRPr="00C1784B">
              <w:rPr>
                <w:rFonts w:ascii="標楷體" w:eastAsia="標楷體" w:hAnsi="標楷體" w:hint="eastAsia"/>
                <w:sz w:val="22"/>
              </w:rPr>
              <w:t>。</w:t>
            </w:r>
          </w:p>
          <w:p w:rsidR="00C1784B" w:rsidRPr="00C1784B" w:rsidRDefault="00C1784B" w:rsidP="00C1784B">
            <w:pPr>
              <w:pStyle w:val="a8"/>
              <w:numPr>
                <w:ilvl w:val="0"/>
                <w:numId w:val="5"/>
              </w:numPr>
              <w:ind w:leftChars="0"/>
              <w:rPr>
                <w:rFonts w:ascii="標楷體" w:eastAsia="標楷體" w:hAnsi="標楷體"/>
                <w:sz w:val="22"/>
              </w:rPr>
            </w:pPr>
            <w:r w:rsidRPr="00C1784B">
              <w:rPr>
                <w:rFonts w:ascii="標楷體" w:eastAsia="標楷體" w:hAnsi="標楷體" w:hint="eastAsia"/>
                <w:sz w:val="22"/>
              </w:rPr>
              <w:t>臨停車場用地，以及編號1-4、2-5道路之建築物高度以不得大於60公尺為原則。</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c>
          <w:tcPr>
            <w:tcW w:w="1276" w:type="dxa"/>
            <w:vAlign w:val="center"/>
          </w:tcPr>
          <w:p w:rsidR="00C1784B" w:rsidRDefault="00CC3164" w:rsidP="00C1784B">
            <w:pPr>
              <w:jc w:val="center"/>
              <w:rPr>
                <w:rFonts w:ascii="標楷體" w:eastAsia="標楷體" w:hAnsi="標楷體"/>
              </w:rPr>
            </w:pPr>
            <w:r>
              <w:rPr>
                <w:rFonts w:ascii="標楷體" w:eastAsia="標楷體" w:hAnsi="標楷體" w:hint="eastAsia"/>
              </w:rPr>
              <w:t>5</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景觀設計原則：</w:t>
            </w:r>
          </w:p>
          <w:p w:rsidR="00C1784B" w:rsidRPr="00C1784B" w:rsidRDefault="00C1784B" w:rsidP="00C1784B">
            <w:pPr>
              <w:rPr>
                <w:rFonts w:ascii="標楷體" w:eastAsia="標楷體" w:hAnsi="標楷體"/>
                <w:sz w:val="22"/>
              </w:rPr>
            </w:pPr>
            <w:r w:rsidRPr="00C1784B">
              <w:rPr>
                <w:rFonts w:ascii="標楷體" w:eastAsia="標楷體" w:hAnsi="標楷體" w:hint="eastAsia"/>
                <w:sz w:val="22"/>
              </w:rPr>
              <w:t>為塑造竹東鎮之整體景觀意象，本</w:t>
            </w:r>
            <w:proofErr w:type="gramStart"/>
            <w:r w:rsidRPr="00C1784B">
              <w:rPr>
                <w:rFonts w:ascii="標楷體" w:eastAsia="標楷體" w:hAnsi="標楷體" w:hint="eastAsia"/>
                <w:sz w:val="22"/>
              </w:rPr>
              <w:t>計畫區植栽</w:t>
            </w:r>
            <w:proofErr w:type="gramEnd"/>
            <w:r w:rsidRPr="00C1784B">
              <w:rPr>
                <w:rFonts w:ascii="標楷體" w:eastAsia="標楷體" w:hAnsi="標楷體" w:hint="eastAsia"/>
                <w:sz w:val="22"/>
              </w:rPr>
              <w:t>應</w:t>
            </w:r>
            <w:proofErr w:type="gramStart"/>
            <w:r w:rsidRPr="00C1784B">
              <w:rPr>
                <w:rFonts w:ascii="標楷體" w:eastAsia="標楷體" w:hAnsi="標楷體" w:hint="eastAsia"/>
                <w:sz w:val="22"/>
              </w:rPr>
              <w:t>採</w:t>
            </w:r>
            <w:proofErr w:type="gramEnd"/>
            <w:r w:rsidRPr="00C1784B">
              <w:rPr>
                <w:rFonts w:ascii="標楷體" w:eastAsia="標楷體" w:hAnsi="標楷體" w:hint="eastAsia"/>
                <w:sz w:val="22"/>
              </w:rPr>
              <w:t>竹東當地之鄉土植物樹</w:t>
            </w:r>
            <w:proofErr w:type="gramStart"/>
            <w:r w:rsidRPr="00C1784B">
              <w:rPr>
                <w:rFonts w:ascii="標楷體" w:eastAsia="標楷體" w:hAnsi="標楷體" w:hint="eastAsia"/>
                <w:sz w:val="22"/>
              </w:rPr>
              <w:t>杞</w:t>
            </w:r>
            <w:proofErr w:type="gramEnd"/>
            <w:r w:rsidRPr="00C1784B">
              <w:rPr>
                <w:rFonts w:ascii="標楷體" w:eastAsia="標楷體" w:hAnsi="標楷體" w:hint="eastAsia"/>
                <w:sz w:val="22"/>
              </w:rPr>
              <w:t>作為植栽種類之</w:t>
            </w:r>
            <w:proofErr w:type="gramStart"/>
            <w:r w:rsidRPr="00C1784B">
              <w:rPr>
                <w:rFonts w:ascii="標楷體" w:eastAsia="標楷體" w:hAnsi="標楷體" w:hint="eastAsia"/>
                <w:sz w:val="22"/>
              </w:rPr>
              <w:t>ㄧ</w:t>
            </w:r>
            <w:proofErr w:type="gramEnd"/>
            <w:r w:rsidRPr="00C1784B">
              <w:rPr>
                <w:rFonts w:ascii="標楷體" w:eastAsia="標楷體" w:hAnsi="標楷體" w:hint="eastAsia"/>
                <w:sz w:val="22"/>
              </w:rPr>
              <w:t>，並配合移植基地內具有價值樹種(包括樟樹、龍柏、蘇鐵等)，以</w:t>
            </w:r>
            <w:proofErr w:type="gramStart"/>
            <w:r w:rsidRPr="00C1784B">
              <w:rPr>
                <w:rFonts w:ascii="標楷體" w:eastAsia="標楷體" w:hAnsi="標楷體" w:hint="eastAsia"/>
                <w:sz w:val="22"/>
              </w:rPr>
              <w:t>形塑在地</w:t>
            </w:r>
            <w:proofErr w:type="gramEnd"/>
            <w:r w:rsidRPr="00C1784B">
              <w:rPr>
                <w:rFonts w:ascii="標楷體" w:eastAsia="標楷體" w:hAnsi="標楷體" w:hint="eastAsia"/>
                <w:sz w:val="22"/>
              </w:rPr>
              <w:t>的特色，並降低生態環境的衝擊，因此針對本計畫區內之景觀設計原則說明如下：</w:t>
            </w:r>
          </w:p>
          <w:p w:rsidR="00C1784B" w:rsidRPr="00C1784B" w:rsidRDefault="00C1784B" w:rsidP="00C1784B">
            <w:pPr>
              <w:pStyle w:val="a8"/>
              <w:numPr>
                <w:ilvl w:val="0"/>
                <w:numId w:val="7"/>
              </w:numPr>
              <w:ind w:leftChars="0"/>
              <w:rPr>
                <w:rFonts w:ascii="標楷體" w:eastAsia="標楷體" w:hAnsi="標楷體"/>
                <w:sz w:val="22"/>
              </w:rPr>
            </w:pPr>
            <w:r w:rsidRPr="00C1784B">
              <w:rPr>
                <w:rFonts w:ascii="標楷體" w:eastAsia="標楷體" w:hAnsi="標楷體" w:hint="eastAsia"/>
                <w:sz w:val="22"/>
              </w:rPr>
              <w:t>鄰里公園兼兒童遊樂場用地景觀意象</w:t>
            </w:r>
          </w:p>
          <w:p w:rsidR="00C1784B" w:rsidRPr="00C1784B" w:rsidRDefault="00C1784B" w:rsidP="00C1784B">
            <w:pPr>
              <w:pStyle w:val="a8"/>
              <w:ind w:leftChars="0"/>
              <w:rPr>
                <w:rFonts w:ascii="標楷體" w:eastAsia="標楷體" w:hAnsi="標楷體"/>
                <w:sz w:val="22"/>
              </w:rPr>
            </w:pPr>
            <w:r w:rsidRPr="00C1784B">
              <w:rPr>
                <w:rFonts w:ascii="標楷體" w:eastAsia="標楷體" w:hAnsi="標楷體" w:hint="eastAsia"/>
                <w:sz w:val="22"/>
              </w:rPr>
              <w:t>主要在於提供居民一個多功能及賞心悅目之綠色公園，並藉由季節性花卉</w:t>
            </w:r>
            <w:proofErr w:type="gramStart"/>
            <w:r w:rsidRPr="00C1784B">
              <w:rPr>
                <w:rFonts w:ascii="標楷體" w:eastAsia="標楷體" w:hAnsi="標楷體" w:hint="eastAsia"/>
                <w:sz w:val="22"/>
              </w:rPr>
              <w:t>植栽來塑造</w:t>
            </w:r>
            <w:proofErr w:type="gramEnd"/>
            <w:r w:rsidRPr="00C1784B">
              <w:rPr>
                <w:rFonts w:ascii="標楷體" w:eastAsia="標楷體" w:hAnsi="標楷體" w:hint="eastAsia"/>
                <w:sz w:val="22"/>
              </w:rPr>
              <w:t>出「四季花田」之核心都市公園意象。</w:t>
            </w:r>
          </w:p>
          <w:p w:rsidR="00C1784B" w:rsidRPr="00C1784B" w:rsidRDefault="00C1784B" w:rsidP="00C1784B">
            <w:pPr>
              <w:pStyle w:val="a8"/>
              <w:ind w:leftChars="0"/>
              <w:rPr>
                <w:rFonts w:ascii="標楷體" w:eastAsia="標楷體" w:hAnsi="標楷體"/>
                <w:sz w:val="22"/>
              </w:rPr>
            </w:pPr>
            <w:r w:rsidRPr="00C1784B">
              <w:rPr>
                <w:rFonts w:ascii="標楷體" w:eastAsia="標楷體" w:hAnsi="標楷體" w:hint="eastAsia"/>
                <w:sz w:val="22"/>
              </w:rPr>
              <w:t>其於開闢時，應保留部分設置雨水</w:t>
            </w:r>
            <w:proofErr w:type="gramStart"/>
            <w:r w:rsidRPr="00C1784B">
              <w:rPr>
                <w:rFonts w:ascii="標楷體" w:eastAsia="標楷體" w:hAnsi="標楷體" w:hint="eastAsia"/>
                <w:sz w:val="22"/>
              </w:rPr>
              <w:t>貯留池</w:t>
            </w:r>
            <w:proofErr w:type="gramEnd"/>
            <w:r w:rsidRPr="00C1784B">
              <w:rPr>
                <w:rFonts w:ascii="標楷體" w:eastAsia="標楷體" w:hAnsi="標楷體" w:hint="eastAsia"/>
                <w:sz w:val="22"/>
              </w:rPr>
              <w:t>或生態池等保水設施。</w:t>
            </w:r>
          </w:p>
          <w:p w:rsidR="00C1784B" w:rsidRPr="00C1784B" w:rsidRDefault="00C1784B" w:rsidP="00C1784B">
            <w:pPr>
              <w:rPr>
                <w:rFonts w:ascii="標楷體" w:eastAsia="標楷體" w:hAnsi="標楷體"/>
                <w:sz w:val="22"/>
              </w:rPr>
            </w:pPr>
            <w:r w:rsidRPr="00C1784B">
              <w:rPr>
                <w:rFonts w:ascii="標楷體" w:eastAsia="標楷體" w:hAnsi="標楷體" w:hint="eastAsia"/>
                <w:sz w:val="22"/>
              </w:rPr>
              <w:t>(二)2-6、 5-24、5-25及5-26道路兩側景觀意象</w:t>
            </w:r>
          </w:p>
          <w:p w:rsidR="00C1784B" w:rsidRPr="00C1784B" w:rsidRDefault="00C1784B" w:rsidP="00C1784B">
            <w:pPr>
              <w:ind w:leftChars="191" w:left="458"/>
              <w:rPr>
                <w:rFonts w:ascii="標楷體" w:eastAsia="標楷體" w:hAnsi="標楷體"/>
                <w:sz w:val="22"/>
              </w:rPr>
            </w:pPr>
            <w:r w:rsidRPr="00C1784B">
              <w:rPr>
                <w:rFonts w:ascii="標楷體" w:eastAsia="標楷體" w:hAnsi="標楷體" w:hint="eastAsia"/>
                <w:sz w:val="22"/>
              </w:rPr>
              <w:t>藉由道路兩側緩衝設施帶及綠化的</w:t>
            </w:r>
            <w:proofErr w:type="gramStart"/>
            <w:r w:rsidRPr="00C1784B">
              <w:rPr>
                <w:rFonts w:ascii="標楷體" w:eastAsia="標楷體" w:hAnsi="標楷體" w:hint="eastAsia"/>
                <w:sz w:val="22"/>
              </w:rPr>
              <w:t>佈</w:t>
            </w:r>
            <w:proofErr w:type="gramEnd"/>
            <w:r w:rsidRPr="00C1784B">
              <w:rPr>
                <w:rFonts w:ascii="標楷體" w:eastAsia="標楷體" w:hAnsi="標楷體" w:hint="eastAsia"/>
                <w:sz w:val="22"/>
              </w:rPr>
              <w:t>設，不僅可提供步行者安全的步行環境，同時亦可綠化</w:t>
            </w:r>
            <w:proofErr w:type="gramStart"/>
            <w:r w:rsidRPr="00C1784B">
              <w:rPr>
                <w:rFonts w:ascii="標楷體" w:eastAsia="標楷體" w:hAnsi="標楷體" w:hint="eastAsia"/>
                <w:sz w:val="22"/>
              </w:rPr>
              <w:t>步道臨車道</w:t>
            </w:r>
            <w:proofErr w:type="gramEnd"/>
            <w:r w:rsidRPr="00C1784B">
              <w:rPr>
                <w:rFonts w:ascii="標楷體" w:eastAsia="標楷體" w:hAnsi="標楷體" w:hint="eastAsia"/>
                <w:sz w:val="22"/>
              </w:rPr>
              <w:t>側之景觀，進而提昇兼顧視覺美感與空氣淨化、隔絕噪音等之</w:t>
            </w:r>
            <w:proofErr w:type="gramStart"/>
            <w:r w:rsidRPr="00C1784B">
              <w:rPr>
                <w:rFonts w:ascii="標楷體" w:eastAsia="標楷體" w:hAnsi="標楷體" w:hint="eastAsia"/>
                <w:sz w:val="22"/>
              </w:rPr>
              <w:t>緩衝綠牆</w:t>
            </w:r>
            <w:proofErr w:type="gramEnd"/>
            <w:r w:rsidRPr="00C1784B">
              <w:rPr>
                <w:rFonts w:ascii="標楷體" w:eastAsia="標楷體" w:hAnsi="標楷體" w:hint="eastAsia"/>
                <w:sz w:val="22"/>
              </w:rPr>
              <w:t>。</w:t>
            </w:r>
          </w:p>
          <w:p w:rsidR="00C1784B" w:rsidRPr="00C1784B" w:rsidRDefault="00C1784B" w:rsidP="00C1784B">
            <w:pPr>
              <w:rPr>
                <w:rFonts w:ascii="標楷體" w:eastAsia="標楷體" w:hAnsi="標楷體"/>
                <w:sz w:val="22"/>
              </w:rPr>
            </w:pPr>
            <w:r w:rsidRPr="00C1784B">
              <w:rPr>
                <w:rFonts w:ascii="標楷體" w:eastAsia="標楷體" w:hAnsi="標楷體" w:hint="eastAsia"/>
                <w:sz w:val="22"/>
              </w:rPr>
              <w:t>(三)建築基地景觀意象</w:t>
            </w:r>
          </w:p>
          <w:p w:rsidR="00C1784B" w:rsidRPr="00C1784B" w:rsidRDefault="00C1784B" w:rsidP="00C1784B">
            <w:pPr>
              <w:ind w:leftChars="191" w:left="458"/>
              <w:jc w:val="both"/>
              <w:rPr>
                <w:rFonts w:ascii="標楷體" w:eastAsia="標楷體" w:hAnsi="標楷體"/>
                <w:sz w:val="22"/>
              </w:rPr>
            </w:pPr>
            <w:r w:rsidRPr="00C1784B">
              <w:rPr>
                <w:rFonts w:ascii="標楷體" w:eastAsia="標楷體" w:hAnsi="標楷體" w:hint="eastAsia"/>
                <w:sz w:val="22"/>
              </w:rPr>
              <w:t>建築基地內之法定空地應留設二分之一以上之植栽綠化面積為原則，以提升整體建築基地景觀視覺品質，並就建築綠化及建築配置之景觀設計原則分述如下：</w:t>
            </w:r>
          </w:p>
          <w:p w:rsidR="00C1784B" w:rsidRPr="00C1784B" w:rsidRDefault="00C1784B" w:rsidP="00C1784B">
            <w:pPr>
              <w:ind w:leftChars="118" w:left="283"/>
              <w:rPr>
                <w:rFonts w:ascii="標楷體" w:eastAsia="標楷體" w:hAnsi="標楷體"/>
                <w:sz w:val="22"/>
              </w:rPr>
            </w:pPr>
            <w:r w:rsidRPr="00C1784B">
              <w:rPr>
                <w:rFonts w:ascii="標楷體" w:eastAsia="標楷體" w:hAnsi="標楷體" w:hint="eastAsia"/>
                <w:sz w:val="22"/>
              </w:rPr>
              <w:t>1.建築綠化</w:t>
            </w:r>
          </w:p>
          <w:p w:rsidR="00C1784B" w:rsidRPr="00C1784B" w:rsidRDefault="00C1784B" w:rsidP="00C1784B">
            <w:pPr>
              <w:ind w:leftChars="216" w:left="518"/>
              <w:rPr>
                <w:rFonts w:ascii="標楷體" w:eastAsia="標楷體" w:hAnsi="標楷體"/>
                <w:sz w:val="22"/>
              </w:rPr>
            </w:pPr>
            <w:r w:rsidRPr="00C1784B">
              <w:rPr>
                <w:rFonts w:ascii="標楷體" w:eastAsia="標楷體" w:hAnsi="標楷體" w:hint="eastAsia"/>
                <w:sz w:val="22"/>
              </w:rPr>
              <w:t>商業區內之建築物應於其</w:t>
            </w:r>
            <w:proofErr w:type="gramStart"/>
            <w:r w:rsidRPr="00C1784B">
              <w:rPr>
                <w:rFonts w:ascii="標楷體" w:eastAsia="標楷體" w:hAnsi="標楷體" w:hint="eastAsia"/>
                <w:sz w:val="22"/>
              </w:rPr>
              <w:t>屋頂層留設</w:t>
            </w:r>
            <w:proofErr w:type="gramEnd"/>
            <w:r w:rsidRPr="00C1784B">
              <w:rPr>
                <w:rFonts w:ascii="標楷體" w:eastAsia="標楷體" w:hAnsi="標楷體" w:hint="eastAsia"/>
                <w:sz w:val="22"/>
              </w:rPr>
              <w:t>建築面積四分之一以上之植栽綠化面積為原則，將可促進周圍環境達到環境保護以及建築物節能之效果。</w:t>
            </w:r>
            <w:proofErr w:type="gramStart"/>
            <w:r w:rsidRPr="00C1784B">
              <w:rPr>
                <w:rFonts w:ascii="標楷體" w:eastAsia="標楷體" w:hAnsi="標楷體" w:hint="eastAsia"/>
                <w:sz w:val="22"/>
              </w:rPr>
              <w:t>此外，</w:t>
            </w:r>
            <w:proofErr w:type="gramEnd"/>
            <w:r w:rsidRPr="00C1784B">
              <w:rPr>
                <w:rFonts w:ascii="標楷體" w:eastAsia="標楷體" w:hAnsi="標楷體" w:hint="eastAsia"/>
                <w:sz w:val="22"/>
              </w:rPr>
              <w:t>在視覺上亦可同時達成綠化及軟化建築群體的生硬表情。</w:t>
            </w:r>
          </w:p>
          <w:p w:rsidR="00C1784B" w:rsidRPr="00C1784B" w:rsidRDefault="00C1784B" w:rsidP="00C1784B">
            <w:pPr>
              <w:ind w:leftChars="118" w:left="283"/>
              <w:rPr>
                <w:rFonts w:ascii="標楷體" w:eastAsia="標楷體" w:hAnsi="標楷體"/>
                <w:sz w:val="22"/>
              </w:rPr>
            </w:pPr>
            <w:r w:rsidRPr="00C1784B">
              <w:rPr>
                <w:rFonts w:ascii="標楷體" w:eastAsia="標楷體" w:hAnsi="標楷體" w:hint="eastAsia"/>
                <w:sz w:val="22"/>
              </w:rPr>
              <w:t>2.建築物配置</w:t>
            </w:r>
          </w:p>
          <w:p w:rsidR="00C1784B" w:rsidRPr="00C1784B" w:rsidRDefault="00C1784B" w:rsidP="00C1784B">
            <w:pPr>
              <w:pStyle w:val="a8"/>
              <w:numPr>
                <w:ilvl w:val="0"/>
                <w:numId w:val="8"/>
              </w:numPr>
              <w:ind w:leftChars="0"/>
              <w:rPr>
                <w:rFonts w:ascii="標楷體" w:eastAsia="標楷體" w:hAnsi="標楷體"/>
                <w:sz w:val="22"/>
              </w:rPr>
            </w:pPr>
            <w:r w:rsidRPr="00C1784B">
              <w:rPr>
                <w:rFonts w:ascii="標楷體" w:eastAsia="標楷體" w:hAnsi="標楷體" w:hint="eastAsia"/>
                <w:sz w:val="22"/>
              </w:rPr>
              <w:t>本計畫區天際線之概念在於以鄰里公園兼兒童遊樂場用地為核心，其兩旁為中低層建物，漸次向計畫區周邊提升高度，形成</w:t>
            </w:r>
            <w:proofErr w:type="gramStart"/>
            <w:r w:rsidRPr="00C1784B">
              <w:rPr>
                <w:rFonts w:ascii="標楷體" w:eastAsia="標楷體" w:hAnsi="標楷體" w:hint="eastAsia"/>
                <w:sz w:val="22"/>
              </w:rPr>
              <w:t>一</w:t>
            </w:r>
            <w:proofErr w:type="gramEnd"/>
            <w:r w:rsidRPr="00C1784B">
              <w:rPr>
                <w:rFonts w:ascii="標楷體" w:eastAsia="標楷體" w:hAnsi="標楷體" w:hint="eastAsia"/>
                <w:sz w:val="22"/>
              </w:rPr>
              <w:t>兼顧公園自然日照、開闊視野與明確視覺意象之天際線塑造。</w:t>
            </w:r>
          </w:p>
          <w:p w:rsidR="00C1784B" w:rsidRPr="00C1784B" w:rsidRDefault="00C1784B" w:rsidP="00C1784B">
            <w:pPr>
              <w:pStyle w:val="a8"/>
              <w:numPr>
                <w:ilvl w:val="0"/>
                <w:numId w:val="8"/>
              </w:numPr>
              <w:ind w:leftChars="0"/>
              <w:rPr>
                <w:rFonts w:ascii="標楷體" w:eastAsia="標楷體" w:hAnsi="標楷體"/>
                <w:sz w:val="22"/>
              </w:rPr>
            </w:pPr>
            <w:r w:rsidRPr="00C1784B">
              <w:rPr>
                <w:rFonts w:ascii="標楷體" w:eastAsia="標楷體" w:hAnsi="標楷體" w:hint="eastAsia"/>
                <w:sz w:val="22"/>
              </w:rPr>
              <w:t>建築物臨接或面向廣場用地、鄰里公園兼兒童遊樂場用地、綠地用地部分，如有暴露通風、通氣、廢氣排出口等有礙觀瞻之設施設備，應</w:t>
            </w:r>
            <w:proofErr w:type="gramStart"/>
            <w:r w:rsidRPr="00C1784B">
              <w:rPr>
                <w:rFonts w:ascii="標楷體" w:eastAsia="標楷體" w:hAnsi="標楷體" w:hint="eastAsia"/>
                <w:sz w:val="22"/>
              </w:rPr>
              <w:t>採</w:t>
            </w:r>
            <w:proofErr w:type="gramEnd"/>
            <w:r w:rsidRPr="00C1784B">
              <w:rPr>
                <w:rFonts w:ascii="標楷體" w:eastAsia="標楷體" w:hAnsi="標楷體" w:hint="eastAsia"/>
                <w:sz w:val="22"/>
              </w:rPr>
              <w:t>適當之遮蔽處理與設計。</w:t>
            </w:r>
          </w:p>
          <w:p w:rsidR="00C1784B" w:rsidRPr="00C1784B" w:rsidRDefault="00C1784B" w:rsidP="00C1784B">
            <w:pPr>
              <w:pStyle w:val="a8"/>
              <w:numPr>
                <w:ilvl w:val="0"/>
                <w:numId w:val="8"/>
              </w:numPr>
              <w:ind w:leftChars="0"/>
              <w:rPr>
                <w:rFonts w:ascii="標楷體" w:eastAsia="標楷體" w:hAnsi="標楷體"/>
                <w:sz w:val="22"/>
              </w:rPr>
            </w:pPr>
            <w:r w:rsidRPr="00C1784B">
              <w:rPr>
                <w:rFonts w:ascii="標楷體" w:eastAsia="標楷體" w:hAnsi="標楷體" w:hint="eastAsia"/>
                <w:sz w:val="22"/>
              </w:rPr>
              <w:t>建築物屋頂之各項設施，如水塔等，須於建築設計中加以隱藏包圍，不得外露。</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rPr>
          <w:trHeight w:val="1206"/>
        </w:trPr>
        <w:tc>
          <w:tcPr>
            <w:tcW w:w="1276" w:type="dxa"/>
            <w:vAlign w:val="center"/>
          </w:tcPr>
          <w:p w:rsidR="00C1784B" w:rsidRDefault="00CC3164" w:rsidP="00C1784B">
            <w:pPr>
              <w:jc w:val="center"/>
              <w:rPr>
                <w:rFonts w:ascii="標楷體" w:eastAsia="標楷體" w:hAnsi="標楷體"/>
              </w:rPr>
            </w:pPr>
            <w:r>
              <w:rPr>
                <w:rFonts w:ascii="標楷體" w:eastAsia="標楷體" w:hAnsi="標楷體" w:hint="eastAsia"/>
              </w:rPr>
              <w:t>6</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廣告招牌：</w:t>
            </w:r>
          </w:p>
          <w:p w:rsidR="00C1784B" w:rsidRPr="00C1784B" w:rsidRDefault="00C1784B" w:rsidP="00C1784B">
            <w:pPr>
              <w:rPr>
                <w:rFonts w:ascii="標楷體" w:eastAsia="標楷體" w:hAnsi="標楷體"/>
                <w:sz w:val="22"/>
              </w:rPr>
            </w:pPr>
            <w:r w:rsidRPr="00C1784B">
              <w:rPr>
                <w:rFonts w:ascii="標楷體" w:eastAsia="標楷體" w:hAnsi="標楷體" w:hint="eastAsia"/>
                <w:sz w:val="22"/>
              </w:rPr>
              <w:t>廣告物、廣告旗幟及招牌等設施物應整體規劃設計，其設置不得妨礙公共安全、行人通行及整體景觀，並應依照招牌廣告有關規定辦理。</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C3164">
        <w:trPr>
          <w:trHeight w:val="2542"/>
        </w:trPr>
        <w:tc>
          <w:tcPr>
            <w:tcW w:w="1276" w:type="dxa"/>
            <w:vAlign w:val="center"/>
          </w:tcPr>
          <w:p w:rsidR="00C1784B" w:rsidRDefault="00CC3164" w:rsidP="00C1784B">
            <w:pPr>
              <w:jc w:val="center"/>
              <w:rPr>
                <w:rFonts w:ascii="標楷體" w:eastAsia="標楷體" w:hAnsi="標楷體"/>
              </w:rPr>
            </w:pPr>
            <w:r>
              <w:rPr>
                <w:rFonts w:ascii="標楷體" w:eastAsia="標楷體" w:hAnsi="標楷體" w:hint="eastAsia"/>
              </w:rPr>
              <w:t>7</w:t>
            </w:r>
          </w:p>
        </w:tc>
        <w:tc>
          <w:tcPr>
            <w:tcW w:w="6946" w:type="dxa"/>
            <w:gridSpan w:val="4"/>
            <w:vAlign w:val="center"/>
          </w:tcPr>
          <w:p w:rsidR="00C1784B" w:rsidRPr="00C1784B" w:rsidRDefault="00C1784B" w:rsidP="00C1784B">
            <w:pPr>
              <w:rPr>
                <w:rFonts w:ascii="標楷體" w:eastAsia="標楷體" w:hAnsi="標楷體"/>
                <w:sz w:val="22"/>
              </w:rPr>
            </w:pPr>
            <w:proofErr w:type="gramStart"/>
            <w:r w:rsidRPr="00C1784B">
              <w:rPr>
                <w:rFonts w:ascii="標楷體" w:eastAsia="標楷體" w:hAnsi="標楷體" w:hint="eastAsia"/>
                <w:sz w:val="22"/>
              </w:rPr>
              <w:t>離街裝卸</w:t>
            </w:r>
            <w:proofErr w:type="gramEnd"/>
            <w:r w:rsidRPr="00C1784B">
              <w:rPr>
                <w:rFonts w:ascii="標楷體" w:eastAsia="標楷體" w:hAnsi="標楷體" w:hint="eastAsia"/>
                <w:sz w:val="22"/>
              </w:rPr>
              <w:t>場：</w:t>
            </w:r>
          </w:p>
          <w:p w:rsidR="00C1784B" w:rsidRPr="00C1784B" w:rsidRDefault="00C1784B" w:rsidP="00C1784B">
            <w:pPr>
              <w:pStyle w:val="a8"/>
              <w:numPr>
                <w:ilvl w:val="0"/>
                <w:numId w:val="9"/>
              </w:numPr>
              <w:ind w:leftChars="0"/>
              <w:rPr>
                <w:rFonts w:ascii="標楷體" w:eastAsia="標楷體" w:hAnsi="標楷體"/>
                <w:sz w:val="22"/>
              </w:rPr>
            </w:pPr>
            <w:r w:rsidRPr="00C1784B">
              <w:rPr>
                <w:rFonts w:ascii="標楷體" w:eastAsia="標楷體" w:hAnsi="標楷體" w:hint="eastAsia"/>
                <w:sz w:val="22"/>
              </w:rPr>
              <w:t>商業區基地開發規模達2000平方公尺以上，應設置裝卸場，其位置不應妨礙原有正常活動，對道路交通亦不能產生衝擊。</w:t>
            </w:r>
          </w:p>
          <w:p w:rsidR="00C1784B" w:rsidRPr="00C1784B" w:rsidRDefault="00C1784B" w:rsidP="00C1784B">
            <w:pPr>
              <w:pStyle w:val="a8"/>
              <w:numPr>
                <w:ilvl w:val="0"/>
                <w:numId w:val="9"/>
              </w:numPr>
              <w:ind w:leftChars="0"/>
              <w:rPr>
                <w:rFonts w:ascii="標楷體" w:eastAsia="標楷體" w:hAnsi="標楷體"/>
                <w:sz w:val="22"/>
              </w:rPr>
            </w:pPr>
            <w:proofErr w:type="gramStart"/>
            <w:r w:rsidRPr="00C1784B">
              <w:rPr>
                <w:rFonts w:ascii="標楷體" w:eastAsia="標楷體" w:hAnsi="標楷體" w:hint="eastAsia"/>
                <w:sz w:val="22"/>
              </w:rPr>
              <w:t>離街裝卸</w:t>
            </w:r>
            <w:proofErr w:type="gramEnd"/>
            <w:r w:rsidRPr="00C1784B">
              <w:rPr>
                <w:rFonts w:ascii="標楷體" w:eastAsia="標楷體" w:hAnsi="標楷體" w:hint="eastAsia"/>
                <w:sz w:val="22"/>
              </w:rPr>
              <w:t>場四周鄰接其他基地時，應設置適當的景觀綠化遮蔽處理。</w:t>
            </w:r>
          </w:p>
          <w:p w:rsidR="00C1784B" w:rsidRPr="00C1784B" w:rsidRDefault="00C1784B" w:rsidP="00C1784B">
            <w:pPr>
              <w:pStyle w:val="a8"/>
              <w:numPr>
                <w:ilvl w:val="0"/>
                <w:numId w:val="9"/>
              </w:numPr>
              <w:ind w:leftChars="0"/>
              <w:rPr>
                <w:rFonts w:ascii="標楷體" w:eastAsia="標楷體" w:hAnsi="標楷體"/>
                <w:sz w:val="22"/>
              </w:rPr>
            </w:pPr>
            <w:proofErr w:type="gramStart"/>
            <w:r w:rsidRPr="00C1784B">
              <w:rPr>
                <w:rFonts w:ascii="標楷體" w:eastAsia="標楷體" w:hAnsi="標楷體" w:hint="eastAsia"/>
                <w:sz w:val="22"/>
              </w:rPr>
              <w:t>離街裝卸</w:t>
            </w:r>
            <w:proofErr w:type="gramEnd"/>
            <w:r w:rsidRPr="00C1784B">
              <w:rPr>
                <w:rFonts w:ascii="標楷體" w:eastAsia="標楷體" w:hAnsi="標楷體" w:hint="eastAsia"/>
                <w:sz w:val="22"/>
              </w:rPr>
              <w:t>場應設置足夠的安全隔離設施，並不得設置於建築退縮空間內。</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rPr>
          <w:trHeight w:val="2847"/>
        </w:trPr>
        <w:tc>
          <w:tcPr>
            <w:tcW w:w="1276" w:type="dxa"/>
            <w:vAlign w:val="center"/>
          </w:tcPr>
          <w:p w:rsidR="00C1784B" w:rsidRDefault="00CC3164" w:rsidP="00C1784B">
            <w:pPr>
              <w:jc w:val="center"/>
              <w:rPr>
                <w:rFonts w:ascii="標楷體" w:eastAsia="標楷體" w:hAnsi="標楷體"/>
              </w:rPr>
            </w:pPr>
            <w:r>
              <w:rPr>
                <w:rFonts w:ascii="標楷體" w:eastAsia="標楷體" w:hAnsi="標楷體" w:hint="eastAsia"/>
              </w:rPr>
              <w:lastRenderedPageBreak/>
              <w:t>8</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無障礙設施：</w:t>
            </w:r>
          </w:p>
          <w:p w:rsidR="00C1784B" w:rsidRPr="00C1784B" w:rsidRDefault="00C1784B" w:rsidP="00C1784B">
            <w:pPr>
              <w:rPr>
                <w:rFonts w:ascii="標楷體" w:eastAsia="標楷體" w:hAnsi="標楷體"/>
                <w:sz w:val="22"/>
              </w:rPr>
            </w:pPr>
            <w:r w:rsidRPr="00C1784B">
              <w:rPr>
                <w:rFonts w:ascii="標楷體" w:eastAsia="標楷體" w:hAnsi="標楷體" w:hint="eastAsia"/>
                <w:sz w:val="22"/>
              </w:rPr>
              <w:t>本計畫區基地面積達2000平方公尺以上者，應依下列規定辦理：</w:t>
            </w:r>
          </w:p>
          <w:p w:rsidR="00C1784B" w:rsidRPr="00C1784B" w:rsidRDefault="00C1784B" w:rsidP="00C1784B">
            <w:pPr>
              <w:pStyle w:val="a8"/>
              <w:numPr>
                <w:ilvl w:val="0"/>
                <w:numId w:val="10"/>
              </w:numPr>
              <w:ind w:leftChars="0"/>
              <w:rPr>
                <w:rFonts w:ascii="標楷體" w:eastAsia="標楷體" w:hAnsi="標楷體"/>
                <w:sz w:val="22"/>
              </w:rPr>
            </w:pPr>
            <w:r w:rsidRPr="00C1784B">
              <w:rPr>
                <w:rFonts w:ascii="標楷體" w:eastAsia="標楷體" w:hAnsi="標楷體" w:hint="eastAsia"/>
                <w:sz w:val="22"/>
              </w:rPr>
              <w:t>配置有二部以上電梯之建築物，須最少有一部符合國際殘障設施標準以供行動不便者使用。</w:t>
            </w:r>
          </w:p>
          <w:p w:rsidR="00C1784B" w:rsidRPr="00C1784B" w:rsidRDefault="00C1784B" w:rsidP="00C1784B">
            <w:pPr>
              <w:pStyle w:val="a8"/>
              <w:numPr>
                <w:ilvl w:val="0"/>
                <w:numId w:val="10"/>
              </w:numPr>
              <w:ind w:leftChars="0"/>
              <w:rPr>
                <w:rFonts w:ascii="標楷體" w:eastAsia="標楷體" w:hAnsi="標楷體"/>
                <w:sz w:val="22"/>
              </w:rPr>
            </w:pPr>
            <w:r w:rsidRPr="00C1784B">
              <w:rPr>
                <w:rFonts w:ascii="標楷體" w:eastAsia="標楷體" w:hAnsi="標楷體" w:hint="eastAsia"/>
                <w:sz w:val="22"/>
              </w:rPr>
              <w:t>停車空間須留</w:t>
            </w:r>
            <w:proofErr w:type="gramStart"/>
            <w:r w:rsidRPr="00C1784B">
              <w:rPr>
                <w:rFonts w:ascii="標楷體" w:eastAsia="標楷體" w:hAnsi="標楷體" w:hint="eastAsia"/>
                <w:sz w:val="22"/>
              </w:rPr>
              <w:t>設實設</w:t>
            </w:r>
            <w:proofErr w:type="gramEnd"/>
            <w:r w:rsidRPr="00C1784B">
              <w:rPr>
                <w:rFonts w:ascii="標楷體" w:eastAsia="標楷體" w:hAnsi="標楷體" w:hint="eastAsia"/>
                <w:sz w:val="22"/>
              </w:rPr>
              <w:t>總停車位2%供行動不便者使用，停車位應鄰近電梯出入口處，並以設置於地面層或地下一層，且不得跨越車道為原則。</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C1784B" w:rsidTr="00C1784B">
        <w:trPr>
          <w:trHeight w:val="4003"/>
        </w:trPr>
        <w:tc>
          <w:tcPr>
            <w:tcW w:w="1276" w:type="dxa"/>
            <w:vAlign w:val="center"/>
          </w:tcPr>
          <w:p w:rsidR="00C1784B" w:rsidRDefault="00CC3164" w:rsidP="00C1784B">
            <w:pPr>
              <w:jc w:val="center"/>
              <w:rPr>
                <w:rFonts w:ascii="標楷體" w:eastAsia="標楷體" w:hAnsi="標楷體"/>
              </w:rPr>
            </w:pPr>
            <w:r>
              <w:rPr>
                <w:rFonts w:ascii="標楷體" w:eastAsia="標楷體" w:hAnsi="標楷體" w:hint="eastAsia"/>
              </w:rPr>
              <w:t>9</w:t>
            </w:r>
          </w:p>
        </w:tc>
        <w:tc>
          <w:tcPr>
            <w:tcW w:w="6946" w:type="dxa"/>
            <w:gridSpan w:val="4"/>
            <w:vAlign w:val="center"/>
          </w:tcPr>
          <w:p w:rsidR="00C1784B" w:rsidRPr="00C1784B" w:rsidRDefault="00C1784B" w:rsidP="00C1784B">
            <w:pPr>
              <w:rPr>
                <w:rFonts w:ascii="標楷體" w:eastAsia="標楷體" w:hAnsi="標楷體"/>
                <w:sz w:val="22"/>
              </w:rPr>
            </w:pPr>
            <w:r w:rsidRPr="00C1784B">
              <w:rPr>
                <w:rFonts w:ascii="標楷體" w:eastAsia="標楷體" w:hAnsi="標楷體" w:hint="eastAsia"/>
                <w:sz w:val="22"/>
              </w:rPr>
              <w:t>垃圾貯存空間：</w:t>
            </w:r>
          </w:p>
          <w:p w:rsidR="00C1784B" w:rsidRPr="00C1784B" w:rsidRDefault="00C1784B" w:rsidP="00C1784B">
            <w:pPr>
              <w:rPr>
                <w:rFonts w:ascii="標楷體" w:eastAsia="標楷體" w:hAnsi="標楷體"/>
                <w:sz w:val="22"/>
              </w:rPr>
            </w:pPr>
            <w:r w:rsidRPr="00C1784B">
              <w:rPr>
                <w:rFonts w:ascii="標楷體" w:eastAsia="標楷體" w:hAnsi="標楷體" w:hint="eastAsia"/>
                <w:sz w:val="22"/>
              </w:rPr>
              <w:t>本計畫區基地面積達2000平方公尺以上者，建築物應設置集中式垃圾貯存空間，其設計管制規定如下：</w:t>
            </w:r>
          </w:p>
          <w:p w:rsidR="00C1784B" w:rsidRPr="00C1784B" w:rsidRDefault="00C1784B" w:rsidP="00C1784B">
            <w:pPr>
              <w:pStyle w:val="a8"/>
              <w:numPr>
                <w:ilvl w:val="0"/>
                <w:numId w:val="11"/>
              </w:numPr>
              <w:ind w:leftChars="0"/>
              <w:rPr>
                <w:rFonts w:ascii="標楷體" w:eastAsia="標楷體" w:hAnsi="標楷體"/>
                <w:sz w:val="22"/>
              </w:rPr>
            </w:pPr>
            <w:r w:rsidRPr="00C1784B">
              <w:rPr>
                <w:rFonts w:ascii="標楷體" w:eastAsia="標楷體" w:hAnsi="標楷體" w:hint="eastAsia"/>
                <w:sz w:val="22"/>
              </w:rPr>
              <w:t>建築物應於基地地面層室內外或其下一層之室內無礙衛生及觀瞻處以集中方式設置垃圾貯存空間，以個案人口數計算推估垃圾儲存量，並妥為規劃足夠之設備及貯存空間，並說明該設備清運之方法。</w:t>
            </w:r>
          </w:p>
          <w:p w:rsidR="00C1784B" w:rsidRPr="00C1784B" w:rsidRDefault="00C1784B" w:rsidP="00C1784B">
            <w:pPr>
              <w:pStyle w:val="a8"/>
              <w:numPr>
                <w:ilvl w:val="0"/>
                <w:numId w:val="11"/>
              </w:numPr>
              <w:ind w:leftChars="0"/>
              <w:rPr>
                <w:rFonts w:ascii="標楷體" w:eastAsia="標楷體" w:hAnsi="標楷體"/>
                <w:sz w:val="22"/>
              </w:rPr>
            </w:pPr>
            <w:r w:rsidRPr="00C1784B">
              <w:rPr>
                <w:rFonts w:ascii="標楷體" w:eastAsia="標楷體" w:hAnsi="標楷體" w:hint="eastAsia"/>
                <w:sz w:val="22"/>
              </w:rPr>
              <w:t>集中式垃圾貯存空間應設置通風設備、冷藏設備及排水設備。</w:t>
            </w:r>
          </w:p>
          <w:p w:rsidR="00C1784B" w:rsidRPr="00C1784B" w:rsidRDefault="00C1784B" w:rsidP="00C1784B">
            <w:pPr>
              <w:pStyle w:val="a8"/>
              <w:numPr>
                <w:ilvl w:val="0"/>
                <w:numId w:val="11"/>
              </w:numPr>
              <w:ind w:leftChars="0"/>
              <w:rPr>
                <w:rFonts w:ascii="標楷體" w:eastAsia="標楷體" w:hAnsi="標楷體"/>
                <w:sz w:val="22"/>
              </w:rPr>
            </w:pPr>
            <w:r w:rsidRPr="00C1784B">
              <w:rPr>
                <w:rFonts w:ascii="標楷體" w:eastAsia="標楷體" w:hAnsi="標楷體" w:hint="eastAsia"/>
                <w:sz w:val="22"/>
              </w:rPr>
              <w:t>集中式垃圾貯存空間如採用垃圾子母車設備者，應留設供垃圾收集車進出及操作空間，最低淨高不得小於2.5公尺。</w:t>
            </w:r>
          </w:p>
        </w:tc>
        <w:tc>
          <w:tcPr>
            <w:tcW w:w="3119" w:type="dxa"/>
            <w:gridSpan w:val="3"/>
            <w:vAlign w:val="center"/>
          </w:tcPr>
          <w:p w:rsidR="00C1784B" w:rsidRPr="00C1784B" w:rsidRDefault="00C1784B" w:rsidP="00C1784B">
            <w:pPr>
              <w:jc w:val="both"/>
              <w:rPr>
                <w:rFonts w:ascii="標楷體" w:eastAsia="標楷體" w:hAnsi="標楷體"/>
                <w:sz w:val="22"/>
              </w:rPr>
            </w:pPr>
          </w:p>
        </w:tc>
        <w:tc>
          <w:tcPr>
            <w:tcW w:w="921" w:type="dxa"/>
            <w:gridSpan w:val="2"/>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是</w:t>
            </w:r>
          </w:p>
        </w:tc>
        <w:tc>
          <w:tcPr>
            <w:tcW w:w="921" w:type="dxa"/>
            <w:vAlign w:val="center"/>
          </w:tcPr>
          <w:p w:rsidR="00C1784B" w:rsidRPr="00C1784B" w:rsidRDefault="00C1784B" w:rsidP="00C1784B">
            <w:pPr>
              <w:jc w:val="center"/>
              <w:rPr>
                <w:rFonts w:ascii="標楷體" w:eastAsia="標楷體" w:hAnsi="標楷體"/>
                <w:sz w:val="22"/>
              </w:rPr>
            </w:pPr>
            <w:r w:rsidRPr="00C1784B">
              <w:rPr>
                <w:rFonts w:ascii="標楷體" w:eastAsia="標楷體" w:hAnsi="標楷體" w:hint="eastAsia"/>
                <w:sz w:val="22"/>
              </w:rPr>
              <w:t>□ 否</w:t>
            </w:r>
          </w:p>
        </w:tc>
        <w:tc>
          <w:tcPr>
            <w:tcW w:w="1418" w:type="dxa"/>
            <w:vAlign w:val="center"/>
          </w:tcPr>
          <w:p w:rsidR="00C1784B" w:rsidRPr="00C1784B" w:rsidRDefault="00C1784B" w:rsidP="00C1784B">
            <w:pPr>
              <w:jc w:val="both"/>
              <w:rPr>
                <w:rFonts w:ascii="標楷體" w:eastAsia="標楷體" w:hAnsi="標楷體"/>
                <w:sz w:val="22"/>
              </w:rPr>
            </w:pPr>
          </w:p>
        </w:tc>
      </w:tr>
      <w:tr w:rsidR="00C1784B" w:rsidRPr="000C37E3" w:rsidTr="00CC3164">
        <w:trPr>
          <w:trHeight w:val="1053"/>
        </w:trPr>
        <w:tc>
          <w:tcPr>
            <w:tcW w:w="1276" w:type="dxa"/>
            <w:vAlign w:val="center"/>
          </w:tcPr>
          <w:p w:rsidR="00C1784B" w:rsidRDefault="00C1784B" w:rsidP="00C1784B">
            <w:pPr>
              <w:jc w:val="center"/>
              <w:rPr>
                <w:rFonts w:ascii="標楷體" w:eastAsia="標楷體" w:hAnsi="標楷體"/>
              </w:rPr>
            </w:pPr>
            <w:r w:rsidRPr="009C4822">
              <w:rPr>
                <w:rFonts w:ascii="標楷體" w:eastAsia="標楷體" w:hAnsi="標楷體" w:hint="eastAsia"/>
              </w:rPr>
              <w:t>設計建築師簽證欄</w:t>
            </w:r>
          </w:p>
        </w:tc>
        <w:tc>
          <w:tcPr>
            <w:tcW w:w="6946" w:type="dxa"/>
            <w:gridSpan w:val="4"/>
            <w:vAlign w:val="center"/>
          </w:tcPr>
          <w:p w:rsidR="00C1784B" w:rsidRPr="00E42669" w:rsidRDefault="00C1784B" w:rsidP="00C1784B">
            <w:pPr>
              <w:jc w:val="both"/>
              <w:rPr>
                <w:rFonts w:ascii="標楷體" w:eastAsia="標楷體" w:hAnsi="標楷體"/>
              </w:rPr>
            </w:pPr>
          </w:p>
        </w:tc>
        <w:tc>
          <w:tcPr>
            <w:tcW w:w="1701" w:type="dxa"/>
            <w:gridSpan w:val="2"/>
            <w:vAlign w:val="center"/>
          </w:tcPr>
          <w:p w:rsidR="00C1784B" w:rsidRDefault="00C1784B" w:rsidP="00C1784B">
            <w:pPr>
              <w:jc w:val="center"/>
              <w:rPr>
                <w:rFonts w:ascii="標楷體" w:eastAsia="標楷體" w:hAnsi="標楷體"/>
              </w:rPr>
            </w:pPr>
            <w:r>
              <w:rPr>
                <w:rFonts w:ascii="標楷體" w:eastAsia="標楷體" w:hAnsi="標楷體" w:hint="eastAsia"/>
              </w:rPr>
              <w:t>審查委員</w:t>
            </w:r>
          </w:p>
          <w:p w:rsidR="00C1784B" w:rsidRPr="000C37E3" w:rsidRDefault="00C1784B" w:rsidP="00C1784B">
            <w:pPr>
              <w:jc w:val="center"/>
              <w:rPr>
                <w:rFonts w:ascii="標楷體" w:eastAsia="標楷體" w:hAnsi="標楷體"/>
              </w:rPr>
            </w:pPr>
            <w:r>
              <w:rPr>
                <w:rFonts w:ascii="標楷體" w:eastAsia="標楷體" w:hAnsi="標楷體" w:hint="eastAsia"/>
              </w:rPr>
              <w:t>簽名</w:t>
            </w:r>
          </w:p>
        </w:tc>
        <w:tc>
          <w:tcPr>
            <w:tcW w:w="4678" w:type="dxa"/>
            <w:gridSpan w:val="5"/>
            <w:vAlign w:val="center"/>
          </w:tcPr>
          <w:p w:rsidR="00C1784B" w:rsidRPr="000C37E3" w:rsidRDefault="00C1784B" w:rsidP="00C1784B">
            <w:pPr>
              <w:jc w:val="both"/>
              <w:rPr>
                <w:rFonts w:ascii="標楷體" w:eastAsia="標楷體" w:hAnsi="標楷體"/>
              </w:rPr>
            </w:pPr>
          </w:p>
        </w:tc>
      </w:tr>
      <w:tr w:rsidR="00C1784B" w:rsidRPr="000C37E3" w:rsidTr="00C1784B">
        <w:trPr>
          <w:trHeight w:val="1410"/>
        </w:trPr>
        <w:tc>
          <w:tcPr>
            <w:tcW w:w="14601" w:type="dxa"/>
            <w:gridSpan w:val="12"/>
            <w:vAlign w:val="center"/>
          </w:tcPr>
          <w:p w:rsidR="00C1784B" w:rsidRPr="00CC3164" w:rsidRDefault="00C1784B" w:rsidP="00C1784B">
            <w:pPr>
              <w:jc w:val="both"/>
              <w:rPr>
                <w:rFonts w:ascii="標楷體" w:eastAsia="標楷體" w:hAnsi="標楷體"/>
                <w:sz w:val="20"/>
                <w:szCs w:val="20"/>
              </w:rPr>
            </w:pPr>
            <w:r w:rsidRPr="00CC3164">
              <w:rPr>
                <w:rFonts w:ascii="標楷體" w:eastAsia="標楷體" w:hAnsi="標楷體" w:hint="eastAsia"/>
                <w:sz w:val="20"/>
                <w:szCs w:val="20"/>
              </w:rPr>
              <w:t>備註：</w:t>
            </w:r>
            <w:r w:rsidR="00CC3164" w:rsidRPr="002100E5">
              <w:rPr>
                <w:rFonts w:ascii="標楷體" w:eastAsia="標楷體" w:hAnsi="標楷體" w:hint="eastAsia"/>
                <w:sz w:val="20"/>
                <w:szCs w:val="20"/>
              </w:rPr>
              <w:t>本查核表未列之項目依</w:t>
            </w:r>
            <w:r w:rsidR="00575EB8" w:rsidRPr="00CC3164">
              <w:rPr>
                <w:rFonts w:ascii="標楷體" w:eastAsia="標楷體" w:hAnsi="標楷體" w:hint="eastAsia"/>
                <w:sz w:val="20"/>
                <w:szCs w:val="20"/>
              </w:rPr>
              <w:t>擬定</w:t>
            </w:r>
            <w:r w:rsidRPr="00CC3164">
              <w:rPr>
                <w:rFonts w:ascii="標楷體" w:eastAsia="標楷體" w:hAnsi="標楷體" w:hint="eastAsia"/>
                <w:sz w:val="20"/>
                <w:szCs w:val="20"/>
              </w:rPr>
              <w:t>竹東都市計畫(部分工業區為住宅區、商業區、鄰里公園兼兒童遊樂場用地、綠地用地、停車場用地、廣場用地及道路用地)細部計畫之土地使用分區管制要點及都市設計管制（99年9月30日公告）事項辦理。</w:t>
            </w:r>
            <w:bookmarkStart w:id="0" w:name="_GoBack"/>
            <w:bookmarkEnd w:id="0"/>
          </w:p>
        </w:tc>
      </w:tr>
    </w:tbl>
    <w:p w:rsidR="000C37E3" w:rsidRPr="009C4822" w:rsidRDefault="000C37E3"/>
    <w:sectPr w:rsidR="000C37E3" w:rsidRPr="009C4822" w:rsidSect="00CC3164">
      <w:footerReference w:type="default" r:id="rId7"/>
      <w:pgSz w:w="16840" w:h="23814" w:code="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08" w:rsidRDefault="00B90A08" w:rsidP="009A46C9">
      <w:r>
        <w:separator/>
      </w:r>
    </w:p>
  </w:endnote>
  <w:endnote w:type="continuationSeparator" w:id="0">
    <w:p w:rsidR="00B90A08" w:rsidRDefault="00B90A08" w:rsidP="009A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03620"/>
      <w:docPartObj>
        <w:docPartGallery w:val="Page Numbers (Bottom of Page)"/>
        <w:docPartUnique/>
      </w:docPartObj>
    </w:sdtPr>
    <w:sdtEndPr/>
    <w:sdtContent>
      <w:p w:rsidR="00EC7316" w:rsidRDefault="00EC7316">
        <w:pPr>
          <w:pStyle w:val="a6"/>
          <w:jc w:val="center"/>
        </w:pPr>
        <w:r>
          <w:fldChar w:fldCharType="begin"/>
        </w:r>
        <w:r>
          <w:instrText>PAGE   \* MERGEFORMAT</w:instrText>
        </w:r>
        <w:r>
          <w:fldChar w:fldCharType="separate"/>
        </w:r>
        <w:r w:rsidR="00CC3164" w:rsidRPr="00CC3164">
          <w:rPr>
            <w:noProof/>
            <w:lang w:val="zh-TW"/>
          </w:rPr>
          <w:t>4</w:t>
        </w:r>
        <w:r>
          <w:fldChar w:fldCharType="end"/>
        </w:r>
      </w:p>
    </w:sdtContent>
  </w:sdt>
  <w:p w:rsidR="00EC7316" w:rsidRDefault="00EC73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08" w:rsidRDefault="00B90A08" w:rsidP="009A46C9">
      <w:r>
        <w:separator/>
      </w:r>
    </w:p>
  </w:footnote>
  <w:footnote w:type="continuationSeparator" w:id="0">
    <w:p w:rsidR="00B90A08" w:rsidRDefault="00B90A08" w:rsidP="009A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9D0"/>
    <w:multiLevelType w:val="hybridMultilevel"/>
    <w:tmpl w:val="522CB5BA"/>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D72A44"/>
    <w:multiLevelType w:val="hybridMultilevel"/>
    <w:tmpl w:val="5C8838C6"/>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0D5664"/>
    <w:multiLevelType w:val="hybridMultilevel"/>
    <w:tmpl w:val="AA68E604"/>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1944AB"/>
    <w:multiLevelType w:val="hybridMultilevel"/>
    <w:tmpl w:val="163E9EBA"/>
    <w:lvl w:ilvl="0" w:tplc="CCBCCC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687CBF"/>
    <w:multiLevelType w:val="hybridMultilevel"/>
    <w:tmpl w:val="A8488326"/>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8E5DC0"/>
    <w:multiLevelType w:val="hybridMultilevel"/>
    <w:tmpl w:val="AA68E604"/>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042E1A"/>
    <w:multiLevelType w:val="hybridMultilevel"/>
    <w:tmpl w:val="AA68E604"/>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BD7345"/>
    <w:multiLevelType w:val="hybridMultilevel"/>
    <w:tmpl w:val="522CB5BA"/>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C90E7D"/>
    <w:multiLevelType w:val="hybridMultilevel"/>
    <w:tmpl w:val="83A4C9A4"/>
    <w:lvl w:ilvl="0" w:tplc="9DD8FE5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734F00FC"/>
    <w:multiLevelType w:val="hybridMultilevel"/>
    <w:tmpl w:val="5C8838C6"/>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123740"/>
    <w:multiLevelType w:val="hybridMultilevel"/>
    <w:tmpl w:val="5C8838C6"/>
    <w:lvl w:ilvl="0" w:tplc="D40A37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10"/>
  </w:num>
  <w:num w:numId="5">
    <w:abstractNumId w:val="1"/>
  </w:num>
  <w:num w:numId="6">
    <w:abstractNumId w:val="9"/>
  </w:num>
  <w:num w:numId="7">
    <w:abstractNumId w:val="4"/>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E3"/>
    <w:rsid w:val="00011C70"/>
    <w:rsid w:val="000C37E3"/>
    <w:rsid w:val="003827B2"/>
    <w:rsid w:val="003C041A"/>
    <w:rsid w:val="004601E1"/>
    <w:rsid w:val="004F3270"/>
    <w:rsid w:val="00575EB8"/>
    <w:rsid w:val="006045A8"/>
    <w:rsid w:val="00751D60"/>
    <w:rsid w:val="00793BD5"/>
    <w:rsid w:val="007C6173"/>
    <w:rsid w:val="008A1020"/>
    <w:rsid w:val="009A46C9"/>
    <w:rsid w:val="009C4822"/>
    <w:rsid w:val="00A1582C"/>
    <w:rsid w:val="00B329CF"/>
    <w:rsid w:val="00B34155"/>
    <w:rsid w:val="00B90A08"/>
    <w:rsid w:val="00C1784B"/>
    <w:rsid w:val="00CC3164"/>
    <w:rsid w:val="00D41745"/>
    <w:rsid w:val="00D764C9"/>
    <w:rsid w:val="00E42669"/>
    <w:rsid w:val="00EC7316"/>
    <w:rsid w:val="00F27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9B9E2C-10D4-4EBE-9A25-34321AD7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6C9"/>
    <w:pPr>
      <w:tabs>
        <w:tab w:val="center" w:pos="4153"/>
        <w:tab w:val="right" w:pos="8306"/>
      </w:tabs>
      <w:snapToGrid w:val="0"/>
    </w:pPr>
    <w:rPr>
      <w:sz w:val="20"/>
      <w:szCs w:val="20"/>
    </w:rPr>
  </w:style>
  <w:style w:type="character" w:customStyle="1" w:styleId="a5">
    <w:name w:val="頁首 字元"/>
    <w:basedOn w:val="a0"/>
    <w:link w:val="a4"/>
    <w:uiPriority w:val="99"/>
    <w:rsid w:val="009A46C9"/>
    <w:rPr>
      <w:sz w:val="20"/>
      <w:szCs w:val="20"/>
    </w:rPr>
  </w:style>
  <w:style w:type="paragraph" w:styleId="a6">
    <w:name w:val="footer"/>
    <w:basedOn w:val="a"/>
    <w:link w:val="a7"/>
    <w:uiPriority w:val="99"/>
    <w:unhideWhenUsed/>
    <w:rsid w:val="009A46C9"/>
    <w:pPr>
      <w:tabs>
        <w:tab w:val="center" w:pos="4153"/>
        <w:tab w:val="right" w:pos="8306"/>
      </w:tabs>
      <w:snapToGrid w:val="0"/>
    </w:pPr>
    <w:rPr>
      <w:sz w:val="20"/>
      <w:szCs w:val="20"/>
    </w:rPr>
  </w:style>
  <w:style w:type="character" w:customStyle="1" w:styleId="a7">
    <w:name w:val="頁尾 字元"/>
    <w:basedOn w:val="a0"/>
    <w:link w:val="a6"/>
    <w:uiPriority w:val="99"/>
    <w:rsid w:val="009A46C9"/>
    <w:rPr>
      <w:sz w:val="20"/>
      <w:szCs w:val="20"/>
    </w:rPr>
  </w:style>
  <w:style w:type="paragraph" w:styleId="a8">
    <w:name w:val="List Paragraph"/>
    <w:basedOn w:val="a"/>
    <w:uiPriority w:val="34"/>
    <w:qFormat/>
    <w:rsid w:val="00B329CF"/>
    <w:pPr>
      <w:ind w:leftChars="200" w:left="480"/>
    </w:pPr>
  </w:style>
  <w:style w:type="paragraph" w:styleId="a9">
    <w:name w:val="Balloon Text"/>
    <w:basedOn w:val="a"/>
    <w:link w:val="aa"/>
    <w:uiPriority w:val="99"/>
    <w:semiHidden/>
    <w:unhideWhenUsed/>
    <w:rsid w:val="00751D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1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王筱文</dc:creator>
  <cp:keywords/>
  <dc:description/>
  <cp:lastModifiedBy>黃聿恒</cp:lastModifiedBy>
  <cp:revision>17</cp:revision>
  <cp:lastPrinted>2019-08-29T03:53:00Z</cp:lastPrinted>
  <dcterms:created xsi:type="dcterms:W3CDTF">2019-08-29T02:22:00Z</dcterms:created>
  <dcterms:modified xsi:type="dcterms:W3CDTF">2019-08-29T06:15:00Z</dcterms:modified>
</cp:coreProperties>
</file>