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45" w:rsidRPr="00F27490" w:rsidRDefault="000C37E3" w:rsidP="000C37E3">
      <w:pPr>
        <w:jc w:val="center"/>
        <w:rPr>
          <w:rFonts w:ascii="標楷體" w:eastAsia="標楷體" w:hAnsi="標楷體"/>
          <w:sz w:val="36"/>
          <w:szCs w:val="36"/>
        </w:rPr>
      </w:pPr>
      <w:r w:rsidRPr="00F27490">
        <w:rPr>
          <w:rFonts w:ascii="標楷體" w:eastAsia="標楷體" w:hAnsi="標楷體" w:hint="eastAsia"/>
          <w:sz w:val="36"/>
          <w:szCs w:val="36"/>
        </w:rPr>
        <w:t>新竹縣都市設計管制要點查核表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037"/>
        <w:gridCol w:w="798"/>
        <w:gridCol w:w="3260"/>
        <w:gridCol w:w="709"/>
        <w:gridCol w:w="196"/>
        <w:gridCol w:w="513"/>
        <w:gridCol w:w="1276"/>
        <w:gridCol w:w="1134"/>
        <w:gridCol w:w="850"/>
        <w:gridCol w:w="71"/>
        <w:gridCol w:w="921"/>
        <w:gridCol w:w="1418"/>
      </w:tblGrid>
      <w:tr w:rsidR="000C37E3" w:rsidRPr="000C37E3" w:rsidTr="00AD3369">
        <w:tc>
          <w:tcPr>
            <w:tcW w:w="1271" w:type="dxa"/>
            <w:vAlign w:val="center"/>
          </w:tcPr>
          <w:p w:rsidR="000C37E3" w:rsidRPr="000C37E3" w:rsidRDefault="000C37E3" w:rsidP="00AD336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C37E3">
              <w:rPr>
                <w:rFonts w:ascii="標楷體" w:eastAsia="標楷體" w:hAnsi="標楷體" w:hint="eastAsia"/>
              </w:rPr>
              <w:t>案名</w:t>
            </w:r>
            <w:proofErr w:type="gramEnd"/>
          </w:p>
        </w:tc>
        <w:tc>
          <w:tcPr>
            <w:tcW w:w="6095" w:type="dxa"/>
            <w:gridSpan w:val="3"/>
          </w:tcPr>
          <w:p w:rsidR="000C37E3" w:rsidRPr="000C37E3" w:rsidRDefault="000C37E3" w:rsidP="000B61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2"/>
          </w:tcPr>
          <w:p w:rsidR="000C37E3" w:rsidRPr="000C37E3" w:rsidRDefault="000C37E3" w:rsidP="000B61AA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6183" w:type="dxa"/>
            <w:gridSpan w:val="7"/>
          </w:tcPr>
          <w:p w:rsidR="000C37E3" w:rsidRPr="000C37E3" w:rsidRDefault="000C37E3" w:rsidP="000B61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C37E3" w:rsidRPr="000C37E3" w:rsidTr="00AD3369">
        <w:tc>
          <w:tcPr>
            <w:tcW w:w="1271" w:type="dxa"/>
            <w:vAlign w:val="center"/>
          </w:tcPr>
          <w:p w:rsidR="000C37E3" w:rsidRPr="000C37E3" w:rsidRDefault="000C37E3" w:rsidP="00AD3369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037" w:type="dxa"/>
            <w:vAlign w:val="center"/>
          </w:tcPr>
          <w:p w:rsidR="000C37E3" w:rsidRPr="000C37E3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0C37E3" w:rsidRPr="000C37E3" w:rsidRDefault="000C37E3" w:rsidP="000B61AA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969" w:type="dxa"/>
            <w:gridSpan w:val="2"/>
            <w:vAlign w:val="center"/>
          </w:tcPr>
          <w:p w:rsidR="000C37E3" w:rsidRPr="000C37E3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0C37E3" w:rsidRPr="000C37E3" w:rsidRDefault="000C37E3" w:rsidP="000B61AA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0C37E3" w:rsidRPr="000C37E3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0C37E3" w:rsidRPr="000C37E3" w:rsidRDefault="000C37E3" w:rsidP="000B61AA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410" w:type="dxa"/>
            <w:gridSpan w:val="3"/>
            <w:vAlign w:val="center"/>
          </w:tcPr>
          <w:p w:rsidR="000C37E3" w:rsidRPr="000C37E3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37E3" w:rsidRPr="000C37E3" w:rsidTr="00AD3369">
        <w:tc>
          <w:tcPr>
            <w:tcW w:w="1271" w:type="dxa"/>
            <w:vAlign w:val="center"/>
          </w:tcPr>
          <w:p w:rsidR="000C37E3" w:rsidRPr="000C37E3" w:rsidRDefault="000C37E3" w:rsidP="00AD3369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設計人</w:t>
            </w:r>
          </w:p>
        </w:tc>
        <w:tc>
          <w:tcPr>
            <w:tcW w:w="2037" w:type="dxa"/>
            <w:vAlign w:val="center"/>
          </w:tcPr>
          <w:p w:rsidR="000C37E3" w:rsidRPr="000C37E3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0C37E3" w:rsidRPr="000C37E3" w:rsidRDefault="000C37E3" w:rsidP="000B61AA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969" w:type="dxa"/>
            <w:gridSpan w:val="2"/>
            <w:vAlign w:val="center"/>
          </w:tcPr>
          <w:p w:rsidR="000C37E3" w:rsidRPr="000C37E3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0C37E3" w:rsidRPr="000C37E3" w:rsidRDefault="000C37E3" w:rsidP="000B61AA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0C37E3" w:rsidRPr="000C37E3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0C37E3" w:rsidRPr="000C37E3" w:rsidRDefault="000C37E3" w:rsidP="000B61AA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410" w:type="dxa"/>
            <w:gridSpan w:val="3"/>
            <w:vAlign w:val="center"/>
          </w:tcPr>
          <w:p w:rsidR="000C37E3" w:rsidRPr="000C37E3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37E3" w:rsidRPr="000C37E3" w:rsidTr="00AD3369">
        <w:trPr>
          <w:trHeight w:val="851"/>
        </w:trPr>
        <w:tc>
          <w:tcPr>
            <w:tcW w:w="1271" w:type="dxa"/>
            <w:vAlign w:val="center"/>
          </w:tcPr>
          <w:p w:rsidR="000C37E3" w:rsidRPr="000C37E3" w:rsidRDefault="000C37E3" w:rsidP="00AD3369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依循管制要點名稱</w:t>
            </w:r>
          </w:p>
        </w:tc>
        <w:tc>
          <w:tcPr>
            <w:tcW w:w="13183" w:type="dxa"/>
            <w:gridSpan w:val="12"/>
            <w:vAlign w:val="center"/>
          </w:tcPr>
          <w:p w:rsidR="000C37E3" w:rsidRPr="002A11FF" w:rsidRDefault="00AD3369" w:rsidP="000C37E3">
            <w:pPr>
              <w:jc w:val="both"/>
              <w:rPr>
                <w:rFonts w:ascii="標楷體" w:eastAsia="標楷體" w:hAnsi="標楷體"/>
                <w:b/>
              </w:rPr>
            </w:pPr>
            <w:r w:rsidRPr="002A11FF">
              <w:rPr>
                <w:rFonts w:ascii="標楷體" w:eastAsia="標楷體" w:hAnsi="標楷體" w:hint="eastAsia"/>
                <w:b/>
              </w:rPr>
              <w:t>擬定新豐</w:t>
            </w:r>
            <w:r w:rsidRPr="002A11FF">
              <w:rPr>
                <w:rFonts w:ascii="標楷體" w:eastAsia="標楷體" w:hAnsi="標楷體"/>
                <w:b/>
              </w:rPr>
              <w:t>(</w:t>
            </w:r>
            <w:r w:rsidRPr="002A11FF">
              <w:rPr>
                <w:rFonts w:ascii="標楷體" w:eastAsia="標楷體" w:hAnsi="標楷體" w:hint="eastAsia"/>
                <w:b/>
              </w:rPr>
              <w:t>山</w:t>
            </w:r>
            <w:proofErr w:type="gramStart"/>
            <w:r w:rsidRPr="002A11FF">
              <w:rPr>
                <w:rFonts w:ascii="標楷體" w:eastAsia="標楷體" w:hAnsi="標楷體" w:hint="eastAsia"/>
                <w:b/>
              </w:rPr>
              <w:t>崎</w:t>
            </w:r>
            <w:proofErr w:type="gramEnd"/>
            <w:r w:rsidRPr="002A11FF">
              <w:rPr>
                <w:rFonts w:ascii="標楷體" w:eastAsia="標楷體" w:hAnsi="標楷體" w:hint="eastAsia"/>
                <w:b/>
              </w:rPr>
              <w:t>地區</w:t>
            </w:r>
            <w:r w:rsidRPr="002A11FF">
              <w:rPr>
                <w:rFonts w:ascii="標楷體" w:eastAsia="標楷體" w:hAnsi="標楷體"/>
                <w:b/>
              </w:rPr>
              <w:t>)</w:t>
            </w:r>
            <w:r w:rsidRPr="002A11FF">
              <w:rPr>
                <w:rFonts w:ascii="標楷體" w:eastAsia="標楷體" w:hAnsi="標楷體" w:hint="eastAsia"/>
                <w:b/>
              </w:rPr>
              <w:t>都市計畫</w:t>
            </w:r>
            <w:r w:rsidRPr="002A11FF">
              <w:rPr>
                <w:rFonts w:ascii="標楷體" w:eastAsia="標楷體" w:hAnsi="標楷體"/>
                <w:b/>
              </w:rPr>
              <w:t>(</w:t>
            </w:r>
            <w:r w:rsidRPr="002A11FF">
              <w:rPr>
                <w:rFonts w:ascii="標楷體" w:eastAsia="標楷體" w:hAnsi="標楷體" w:hint="eastAsia"/>
                <w:b/>
              </w:rPr>
              <w:t>部分農業區為第三種住宅區、第二種商業區、機關用地、公園用地、公園兼兒童遊樂場用地、綠地用地、廣場用地、廣場兼停車場用地、道路用地</w:t>
            </w:r>
            <w:r w:rsidRPr="002A11FF">
              <w:rPr>
                <w:rFonts w:ascii="標楷體" w:eastAsia="標楷體" w:hAnsi="標楷體"/>
                <w:b/>
              </w:rPr>
              <w:t xml:space="preserve">) </w:t>
            </w:r>
            <w:r w:rsidRPr="002A11FF">
              <w:rPr>
                <w:rFonts w:ascii="標楷體" w:eastAsia="標楷體" w:hAnsi="標楷體" w:hint="eastAsia"/>
                <w:b/>
              </w:rPr>
              <w:t>細部計畫</w:t>
            </w:r>
          </w:p>
        </w:tc>
      </w:tr>
      <w:tr w:rsidR="000C37E3" w:rsidRPr="000C37E3" w:rsidTr="002A11FF">
        <w:trPr>
          <w:trHeight w:val="565"/>
        </w:trPr>
        <w:tc>
          <w:tcPr>
            <w:tcW w:w="1271" w:type="dxa"/>
            <w:vAlign w:val="center"/>
          </w:tcPr>
          <w:p w:rsidR="000C37E3" w:rsidRPr="002A11FF" w:rsidRDefault="000C37E3" w:rsidP="002A11FF">
            <w:pPr>
              <w:jc w:val="center"/>
              <w:rPr>
                <w:rFonts w:ascii="標楷體" w:eastAsia="標楷體" w:hAnsi="標楷體"/>
                <w:b/>
              </w:rPr>
            </w:pPr>
            <w:r w:rsidRPr="002A11FF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00" w:type="dxa"/>
            <w:gridSpan w:val="5"/>
            <w:vAlign w:val="center"/>
          </w:tcPr>
          <w:p w:rsidR="000C37E3" w:rsidRPr="002A11FF" w:rsidRDefault="000C37E3" w:rsidP="002A11FF">
            <w:pPr>
              <w:jc w:val="center"/>
              <w:rPr>
                <w:rFonts w:ascii="標楷體" w:eastAsia="標楷體" w:hAnsi="標楷體"/>
                <w:b/>
              </w:rPr>
            </w:pPr>
            <w:r w:rsidRPr="002A11FF">
              <w:rPr>
                <w:rFonts w:ascii="標楷體" w:eastAsia="標楷體" w:hAnsi="標楷體" w:hint="eastAsia"/>
                <w:b/>
              </w:rPr>
              <w:t>管制內容說明</w:t>
            </w:r>
          </w:p>
        </w:tc>
        <w:tc>
          <w:tcPr>
            <w:tcW w:w="2923" w:type="dxa"/>
            <w:gridSpan w:val="3"/>
            <w:vAlign w:val="center"/>
          </w:tcPr>
          <w:p w:rsidR="000C37E3" w:rsidRPr="002A11FF" w:rsidRDefault="000C37E3" w:rsidP="002A11FF">
            <w:pPr>
              <w:jc w:val="center"/>
              <w:rPr>
                <w:rFonts w:ascii="標楷體" w:eastAsia="標楷體" w:hAnsi="標楷體"/>
                <w:b/>
              </w:rPr>
            </w:pPr>
            <w:r w:rsidRPr="002A11FF">
              <w:rPr>
                <w:rFonts w:ascii="標楷體" w:eastAsia="標楷體" w:hAnsi="標楷體" w:hint="eastAsia"/>
                <w:b/>
              </w:rPr>
              <w:t>開發及設計說明</w:t>
            </w:r>
          </w:p>
        </w:tc>
        <w:tc>
          <w:tcPr>
            <w:tcW w:w="1842" w:type="dxa"/>
            <w:gridSpan w:val="3"/>
            <w:vAlign w:val="center"/>
          </w:tcPr>
          <w:p w:rsidR="000C37E3" w:rsidRPr="002A11FF" w:rsidRDefault="000C37E3" w:rsidP="002A11FF">
            <w:pPr>
              <w:jc w:val="center"/>
              <w:rPr>
                <w:rFonts w:ascii="標楷體" w:eastAsia="標楷體" w:hAnsi="標楷體"/>
                <w:b/>
              </w:rPr>
            </w:pPr>
            <w:r w:rsidRPr="002A11FF">
              <w:rPr>
                <w:rFonts w:ascii="標楷體" w:eastAsia="標楷體" w:hAnsi="標楷體" w:hint="eastAsia"/>
                <w:b/>
              </w:rPr>
              <w:t>條件符合</w:t>
            </w:r>
          </w:p>
        </w:tc>
        <w:tc>
          <w:tcPr>
            <w:tcW w:w="1418" w:type="dxa"/>
            <w:vAlign w:val="center"/>
          </w:tcPr>
          <w:p w:rsidR="000C37E3" w:rsidRPr="002A11FF" w:rsidRDefault="000C37E3" w:rsidP="002A11FF">
            <w:pPr>
              <w:jc w:val="center"/>
              <w:rPr>
                <w:rFonts w:ascii="標楷體" w:eastAsia="標楷體" w:hAnsi="標楷體"/>
                <w:b/>
              </w:rPr>
            </w:pPr>
            <w:r w:rsidRPr="002A11F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0C37E3" w:rsidRPr="000C37E3" w:rsidTr="004601E1">
        <w:tc>
          <w:tcPr>
            <w:tcW w:w="1271" w:type="dxa"/>
            <w:vAlign w:val="center"/>
          </w:tcPr>
          <w:p w:rsidR="000C37E3" w:rsidRPr="000C37E3" w:rsidRDefault="000C37E3" w:rsidP="000C37E3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00" w:type="dxa"/>
            <w:gridSpan w:val="5"/>
            <w:vAlign w:val="center"/>
          </w:tcPr>
          <w:p w:rsidR="000C37E3" w:rsidRPr="002A11FF" w:rsidRDefault="000C37E3" w:rsidP="000C37E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第三種住宅區內</w:t>
            </w:r>
            <w:r w:rsidRPr="002A11FF">
              <w:rPr>
                <w:rFonts w:ascii="標楷體" w:eastAsia="標楷體" w:hAnsi="標楷體"/>
                <w:sz w:val="22"/>
              </w:rPr>
              <w:t>2</w:t>
            </w:r>
            <w:r w:rsidRPr="002A11FF">
              <w:rPr>
                <w:rFonts w:ascii="標楷體" w:eastAsia="標楷體" w:hAnsi="標楷體" w:hint="eastAsia"/>
                <w:sz w:val="22"/>
              </w:rPr>
              <w:t>樓以上樓高不得大於</w:t>
            </w:r>
            <w:r w:rsidRPr="002A11FF">
              <w:rPr>
                <w:rFonts w:ascii="標楷體" w:eastAsia="標楷體" w:hAnsi="標楷體"/>
                <w:sz w:val="22"/>
              </w:rPr>
              <w:t>4.2</w:t>
            </w:r>
            <w:r w:rsidRPr="002A11FF">
              <w:rPr>
                <w:rFonts w:ascii="標楷體" w:eastAsia="標楷體" w:hAnsi="標楷體" w:hint="eastAsia"/>
                <w:sz w:val="22"/>
              </w:rPr>
              <w:t>公尺。另為保護住宅區居住環境，第三種住宅區內禁止地磅業設置使用。其最大建蔽率、最大容積率依下列規定：</w:t>
            </w:r>
          </w:p>
          <w:p w:rsidR="000C37E3" w:rsidRPr="002A11FF" w:rsidRDefault="000C37E3" w:rsidP="000C37E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最大建蔽率</w:t>
            </w:r>
            <w:r w:rsidRPr="002A11FF">
              <w:rPr>
                <w:rFonts w:ascii="標楷體" w:eastAsia="標楷體" w:hAnsi="標楷體"/>
                <w:sz w:val="22"/>
              </w:rPr>
              <w:t>50%</w:t>
            </w:r>
            <w:r w:rsidRPr="002A11FF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0C37E3" w:rsidRPr="002A11FF" w:rsidRDefault="000C37E3" w:rsidP="000C37E3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二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最大容積率</w:t>
            </w:r>
            <w:r w:rsidRPr="002A11FF">
              <w:rPr>
                <w:rFonts w:ascii="標楷體" w:eastAsia="標楷體" w:hAnsi="標楷體"/>
                <w:sz w:val="22"/>
              </w:rPr>
              <w:t>200%</w:t>
            </w:r>
            <w:r w:rsidRPr="002A11FF">
              <w:rPr>
                <w:rFonts w:ascii="標楷體" w:eastAsia="標楷體" w:hAnsi="標楷體" w:hint="eastAsia"/>
                <w:sz w:val="22"/>
              </w:rPr>
              <w:t>。且不得適用建築技術規則及其他有關容積獎勵相關法規之規定。</w:t>
            </w:r>
          </w:p>
        </w:tc>
        <w:tc>
          <w:tcPr>
            <w:tcW w:w="2923" w:type="dxa"/>
            <w:gridSpan w:val="3"/>
            <w:vAlign w:val="center"/>
          </w:tcPr>
          <w:p w:rsidR="000C37E3" w:rsidRPr="004601E1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C37E3" w:rsidRPr="000C37E3" w:rsidRDefault="000C37E3" w:rsidP="004601E1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0C37E3" w:rsidRPr="000C37E3" w:rsidRDefault="000C37E3" w:rsidP="004601E1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0C37E3" w:rsidRPr="000C37E3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C37E3" w:rsidRPr="000C37E3" w:rsidTr="004601E1">
        <w:tc>
          <w:tcPr>
            <w:tcW w:w="1271" w:type="dxa"/>
            <w:vAlign w:val="center"/>
          </w:tcPr>
          <w:p w:rsidR="000C37E3" w:rsidRPr="000C37E3" w:rsidRDefault="000C37E3" w:rsidP="000C37E3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00" w:type="dxa"/>
            <w:gridSpan w:val="5"/>
            <w:vAlign w:val="center"/>
          </w:tcPr>
          <w:p w:rsidR="000C37E3" w:rsidRPr="002A11FF" w:rsidRDefault="000C37E3" w:rsidP="000C37E3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第二種商業區其土地使建築物之使用應符合「都市計畫法臺灣省施行細則」有關商業區之規定辦理，且為維護居住環境之寧靜、安全及衛生，禁止申請設置資訊休閒業，其建築物</w:t>
            </w:r>
            <w:r w:rsidRPr="002A11FF">
              <w:rPr>
                <w:rFonts w:ascii="標楷體" w:eastAsia="標楷體" w:hAnsi="標楷體"/>
                <w:sz w:val="22"/>
              </w:rPr>
              <w:t xml:space="preserve">1 </w:t>
            </w:r>
            <w:r w:rsidRPr="002A11FF">
              <w:rPr>
                <w:rFonts w:ascii="標楷體" w:eastAsia="標楷體" w:hAnsi="標楷體" w:hint="eastAsia"/>
                <w:sz w:val="22"/>
              </w:rPr>
              <w:t>樓禁止供住宅使用。最大建蔽率、最大容積率依下列規定：</w:t>
            </w:r>
          </w:p>
          <w:p w:rsidR="000C37E3" w:rsidRPr="002A11FF" w:rsidRDefault="000C37E3" w:rsidP="000C37E3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最大建蔽率</w:t>
            </w:r>
            <w:r w:rsidRPr="002A11FF">
              <w:rPr>
                <w:rFonts w:ascii="標楷體" w:eastAsia="標楷體" w:hAnsi="標楷體"/>
                <w:sz w:val="22"/>
              </w:rPr>
              <w:t>50%</w:t>
            </w:r>
          </w:p>
          <w:p w:rsidR="000C37E3" w:rsidRPr="002A11FF" w:rsidRDefault="000C37E3" w:rsidP="000C37E3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二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最大容積率</w:t>
            </w:r>
            <w:r w:rsidRPr="002A11FF">
              <w:rPr>
                <w:rFonts w:ascii="標楷體" w:eastAsia="標楷體" w:hAnsi="標楷體"/>
                <w:sz w:val="22"/>
              </w:rPr>
              <w:t>200%</w:t>
            </w:r>
            <w:r w:rsidRPr="002A11FF">
              <w:rPr>
                <w:rFonts w:ascii="標楷體" w:eastAsia="標楷體" w:hAnsi="標楷體" w:hint="eastAsia"/>
                <w:sz w:val="22"/>
              </w:rPr>
              <w:t>。且不得適用建築技術規則及其他有關容積獎勵相關法規之規定。</w:t>
            </w:r>
          </w:p>
        </w:tc>
        <w:tc>
          <w:tcPr>
            <w:tcW w:w="2923" w:type="dxa"/>
            <w:gridSpan w:val="3"/>
            <w:vAlign w:val="center"/>
          </w:tcPr>
          <w:p w:rsidR="000C37E3" w:rsidRPr="000C37E3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0C37E3" w:rsidRPr="000C37E3" w:rsidRDefault="000C37E3" w:rsidP="004601E1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0C37E3" w:rsidRPr="000C37E3" w:rsidRDefault="000C37E3" w:rsidP="004601E1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0C37E3" w:rsidRPr="000C37E3" w:rsidRDefault="000C37E3" w:rsidP="000C37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4601E1">
        <w:tc>
          <w:tcPr>
            <w:tcW w:w="127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機關用地之建蔽率不得超過</w:t>
            </w:r>
            <w:r w:rsidRPr="002A11FF">
              <w:rPr>
                <w:rFonts w:ascii="標楷體" w:eastAsia="標楷體" w:hAnsi="標楷體"/>
                <w:sz w:val="22"/>
              </w:rPr>
              <w:t>50%</w:t>
            </w:r>
            <w:r w:rsidRPr="002A11FF">
              <w:rPr>
                <w:rFonts w:ascii="標楷體" w:eastAsia="標楷體" w:hAnsi="標楷體" w:hint="eastAsia"/>
                <w:sz w:val="22"/>
              </w:rPr>
              <w:t>，容積率不得超過</w:t>
            </w:r>
            <w:r w:rsidRPr="002A11FF">
              <w:rPr>
                <w:rFonts w:ascii="標楷體" w:eastAsia="標楷體" w:hAnsi="標楷體"/>
                <w:sz w:val="22"/>
              </w:rPr>
              <w:t>200%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2A11FF">
        <w:trPr>
          <w:trHeight w:val="6953"/>
        </w:trPr>
        <w:tc>
          <w:tcPr>
            <w:tcW w:w="127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第三種住宅區、第二種商業區應依下列規定留設停車空間：</w:t>
            </w:r>
          </w:p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申請供住宅使用部份：</w:t>
            </w:r>
          </w:p>
          <w:p w:rsidR="0098720B" w:rsidRPr="002A11FF" w:rsidRDefault="0098720B" w:rsidP="0098720B">
            <w:pPr>
              <w:ind w:leftChars="205" w:left="710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1.</w:t>
            </w:r>
            <w:r w:rsidRPr="002A11FF">
              <w:rPr>
                <w:rFonts w:ascii="標楷體" w:eastAsia="標楷體" w:hAnsi="標楷體" w:hint="eastAsia"/>
                <w:sz w:val="22"/>
              </w:rPr>
              <w:t>為提升居住環境品質及解決停車需求，建築基地申請建築時，每一住宅單元</w:t>
            </w: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住戶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至少應設置一路外汽車停車位，且其建築樓地板面積在</w:t>
            </w:r>
            <w:r w:rsidRPr="002A11FF">
              <w:rPr>
                <w:rFonts w:ascii="標楷體" w:eastAsia="標楷體" w:hAnsi="標楷體"/>
                <w:sz w:val="22"/>
              </w:rPr>
              <w:t>250</w:t>
            </w:r>
            <w:r w:rsidRPr="002A11FF">
              <w:rPr>
                <w:rFonts w:ascii="標楷體" w:eastAsia="標楷體" w:hAnsi="標楷體" w:hint="eastAsia"/>
                <w:sz w:val="22"/>
              </w:rPr>
              <w:t>平方公尺</w:t>
            </w: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含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以下者，應留設一部停車空間，如超過</w:t>
            </w:r>
            <w:r w:rsidRPr="002A11FF">
              <w:rPr>
                <w:rFonts w:ascii="標楷體" w:eastAsia="標楷體" w:hAnsi="標楷體"/>
                <w:sz w:val="22"/>
              </w:rPr>
              <w:t>250</w:t>
            </w:r>
            <w:r w:rsidRPr="002A11FF">
              <w:rPr>
                <w:rFonts w:ascii="標楷體" w:eastAsia="標楷體" w:hAnsi="標楷體" w:hint="eastAsia"/>
                <w:sz w:val="22"/>
              </w:rPr>
              <w:t>平方公尺者，超過部分每</w:t>
            </w:r>
            <w:r w:rsidRPr="002A11FF">
              <w:rPr>
                <w:rFonts w:ascii="標楷體" w:eastAsia="標楷體" w:hAnsi="標楷體"/>
                <w:sz w:val="22"/>
              </w:rPr>
              <w:t>150</w:t>
            </w:r>
            <w:r w:rsidRPr="002A11FF">
              <w:rPr>
                <w:rFonts w:ascii="標楷體" w:eastAsia="標楷體" w:hAnsi="標楷體" w:hint="eastAsia"/>
                <w:sz w:val="22"/>
              </w:rPr>
              <w:t>平方公尺及其零數應增設一部停車空間。</w:t>
            </w:r>
          </w:p>
          <w:p w:rsidR="0098720B" w:rsidRPr="002A11FF" w:rsidRDefault="0098720B" w:rsidP="0098720B">
            <w:pPr>
              <w:ind w:leftChars="205" w:left="710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2.</w:t>
            </w:r>
            <w:r w:rsidRPr="002A11FF">
              <w:rPr>
                <w:rFonts w:ascii="標楷體" w:eastAsia="標楷體" w:hAnsi="標楷體" w:hint="eastAsia"/>
                <w:sz w:val="22"/>
              </w:rPr>
              <w:t>所留設之停車空間如屬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同一戶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，得免依建築技術規則留設車道。</w:t>
            </w:r>
          </w:p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二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申請非供住宅使用或作商業使用時部份：</w:t>
            </w:r>
          </w:p>
          <w:p w:rsidR="0098720B" w:rsidRPr="002A11FF" w:rsidRDefault="0098720B" w:rsidP="0098720B">
            <w:pPr>
              <w:ind w:leftChars="205" w:left="710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1.</w:t>
            </w:r>
            <w:r w:rsidRPr="002A11FF">
              <w:rPr>
                <w:rFonts w:ascii="標楷體" w:eastAsia="標楷體" w:hAnsi="標楷體" w:hint="eastAsia"/>
                <w:sz w:val="22"/>
              </w:rPr>
              <w:t>為提升居住環境品質及解決停車需求，建築基地申請建築時，其建築樓地板面積在</w:t>
            </w:r>
            <w:r w:rsidRPr="002A11FF">
              <w:rPr>
                <w:rFonts w:ascii="標楷體" w:eastAsia="標楷體" w:hAnsi="標楷體"/>
                <w:sz w:val="22"/>
              </w:rPr>
              <w:t>250</w:t>
            </w:r>
            <w:r w:rsidRPr="002A11FF">
              <w:rPr>
                <w:rFonts w:ascii="標楷體" w:eastAsia="標楷體" w:hAnsi="標楷體" w:hint="eastAsia"/>
                <w:sz w:val="22"/>
              </w:rPr>
              <w:t>平方公尺</w:t>
            </w: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含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以下者，應留設一部停車空間，如超過</w:t>
            </w:r>
            <w:r w:rsidRPr="002A11FF">
              <w:rPr>
                <w:rFonts w:ascii="標楷體" w:eastAsia="標楷體" w:hAnsi="標楷體"/>
                <w:sz w:val="22"/>
              </w:rPr>
              <w:t>250</w:t>
            </w:r>
            <w:r w:rsidRPr="002A11FF">
              <w:rPr>
                <w:rFonts w:ascii="標楷體" w:eastAsia="標楷體" w:hAnsi="標楷體" w:hint="eastAsia"/>
                <w:sz w:val="22"/>
              </w:rPr>
              <w:t>平方公尺者，超過部分每</w:t>
            </w:r>
            <w:r w:rsidRPr="002A11FF">
              <w:rPr>
                <w:rFonts w:ascii="標楷體" w:eastAsia="標楷體" w:hAnsi="標楷體"/>
                <w:sz w:val="22"/>
              </w:rPr>
              <w:t>125</w:t>
            </w:r>
            <w:r w:rsidRPr="002A11FF">
              <w:rPr>
                <w:rFonts w:ascii="標楷體" w:eastAsia="標楷體" w:hAnsi="標楷體" w:hint="eastAsia"/>
                <w:sz w:val="22"/>
              </w:rPr>
              <w:t>平方公尺及其零數應增設一部停車空間。</w:t>
            </w:r>
          </w:p>
          <w:p w:rsidR="0098720B" w:rsidRPr="002A11FF" w:rsidRDefault="0098720B" w:rsidP="0098720B">
            <w:pPr>
              <w:ind w:leftChars="205" w:left="710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2.</w:t>
            </w:r>
            <w:r w:rsidRPr="002A11FF">
              <w:rPr>
                <w:rFonts w:ascii="標楷體" w:eastAsia="標楷體" w:hAnsi="標楷體" w:hint="eastAsia"/>
                <w:sz w:val="22"/>
              </w:rPr>
              <w:t>所留設之停車空間如屬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同一戶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，得免依建築技術規則留設車道。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三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應設機車停車位，機車停車位數以建築技術規則建築設計施工編第</w:t>
            </w:r>
            <w:r w:rsidRPr="002A11FF">
              <w:rPr>
                <w:rFonts w:ascii="標楷體" w:eastAsia="標楷體" w:hAnsi="標楷體"/>
                <w:sz w:val="22"/>
              </w:rPr>
              <w:t>59</w:t>
            </w:r>
            <w:r w:rsidRPr="002A11FF">
              <w:rPr>
                <w:rFonts w:ascii="標楷體" w:eastAsia="標楷體" w:hAnsi="標楷體" w:hint="eastAsia"/>
                <w:sz w:val="22"/>
              </w:rPr>
              <w:t>條之樓地板面積計算方式，每滿</w:t>
            </w:r>
            <w:r w:rsidRPr="002A11FF">
              <w:rPr>
                <w:rFonts w:ascii="標楷體" w:eastAsia="標楷體" w:hAnsi="標楷體"/>
                <w:sz w:val="22"/>
              </w:rPr>
              <w:t>200</w:t>
            </w:r>
            <w:r w:rsidRPr="002A11FF">
              <w:rPr>
                <w:rFonts w:ascii="標楷體" w:eastAsia="標楷體" w:hAnsi="標楷體" w:hint="eastAsia"/>
                <w:sz w:val="22"/>
              </w:rPr>
              <w:t>平方公尺設置</w:t>
            </w:r>
            <w:r w:rsidRPr="002A11FF">
              <w:rPr>
                <w:rFonts w:ascii="標楷體" w:eastAsia="標楷體" w:hAnsi="標楷體"/>
                <w:sz w:val="22"/>
              </w:rPr>
              <w:t>1</w:t>
            </w:r>
            <w:r w:rsidRPr="002A11FF">
              <w:rPr>
                <w:rFonts w:ascii="標楷體" w:eastAsia="標楷體" w:hAnsi="標楷體" w:hint="eastAsia"/>
                <w:sz w:val="22"/>
              </w:rPr>
              <w:t>部計算，其尺寸須長</w:t>
            </w:r>
            <w:r w:rsidRPr="002A11FF">
              <w:rPr>
                <w:rFonts w:ascii="標楷體" w:eastAsia="標楷體" w:hAnsi="標楷體"/>
                <w:sz w:val="22"/>
              </w:rPr>
              <w:t>2</w:t>
            </w:r>
            <w:r w:rsidRPr="002A11FF">
              <w:rPr>
                <w:rFonts w:ascii="標楷體" w:eastAsia="標楷體" w:hAnsi="標楷體" w:hint="eastAsia"/>
                <w:sz w:val="22"/>
              </w:rPr>
              <w:t>公尺以上，寬</w:t>
            </w:r>
            <w:r w:rsidRPr="002A11FF">
              <w:rPr>
                <w:rFonts w:ascii="標楷體" w:eastAsia="標楷體" w:hAnsi="標楷體"/>
                <w:sz w:val="22"/>
              </w:rPr>
              <w:t>0.9</w:t>
            </w:r>
            <w:r w:rsidRPr="002A11FF">
              <w:rPr>
                <w:rFonts w:ascii="標楷體" w:eastAsia="標楷體" w:hAnsi="標楷體" w:hint="eastAsia"/>
                <w:sz w:val="22"/>
              </w:rPr>
              <w:t>公尺以上，通道寬度</w:t>
            </w:r>
            <w:r w:rsidRPr="002A11FF">
              <w:rPr>
                <w:rFonts w:ascii="標楷體" w:eastAsia="標楷體" w:hAnsi="標楷體"/>
                <w:sz w:val="22"/>
              </w:rPr>
              <w:t>1.5</w:t>
            </w:r>
            <w:r w:rsidRPr="002A11FF">
              <w:rPr>
                <w:rFonts w:ascii="標楷體" w:eastAsia="標楷體" w:hAnsi="標楷體" w:hint="eastAsia"/>
                <w:sz w:val="22"/>
              </w:rPr>
              <w:t>公尺以上，如機車停車位數超過</w:t>
            </w:r>
            <w:r w:rsidRPr="002A11FF">
              <w:rPr>
                <w:rFonts w:ascii="標楷體" w:eastAsia="標楷體" w:hAnsi="標楷體"/>
                <w:sz w:val="22"/>
              </w:rPr>
              <w:t>10</w:t>
            </w:r>
            <w:r w:rsidRPr="002A11FF">
              <w:rPr>
                <w:rFonts w:ascii="標楷體" w:eastAsia="標楷體" w:hAnsi="標楷體" w:hint="eastAsia"/>
                <w:sz w:val="22"/>
              </w:rPr>
              <w:t>部者，應採集中設置為原則，並僅得設置於地面層及地下一層，且不得設置於最小退縮建築範圍內。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4601E1">
        <w:tc>
          <w:tcPr>
            <w:tcW w:w="1271" w:type="dxa"/>
            <w:vAlign w:val="center"/>
          </w:tcPr>
          <w:p w:rsidR="0098720B" w:rsidRPr="000C37E3" w:rsidRDefault="002A11FF" w:rsidP="00987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建築基地退縮規定：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第三種住宅區、第二種商業區、機關用地、公園用地、公園兼兒童遊樂場用地、廣場兼停車場用地應自道路</w:t>
            </w: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含廣場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境界線至少退縮</w:t>
            </w:r>
            <w:r w:rsidRPr="002A11FF">
              <w:rPr>
                <w:rFonts w:ascii="標楷體" w:eastAsia="標楷體" w:hAnsi="標楷體"/>
                <w:sz w:val="22"/>
              </w:rPr>
              <w:t>5</w:t>
            </w:r>
            <w:r w:rsidRPr="002A11FF">
              <w:rPr>
                <w:rFonts w:ascii="標楷體" w:eastAsia="標楷體" w:hAnsi="標楷體" w:hint="eastAsia"/>
                <w:sz w:val="22"/>
              </w:rPr>
              <w:t>公尺建築，其退縮部分得計入為法定空地，不得設置圍牆，並應植栽綠化。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二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第三種住宅區、機關用地臨接公園用地、公園兼兒童遊樂場用地、廣場兼停車場用地、綠地用地之建築物，應自該公共設施用地境界線至少退縮</w:t>
            </w:r>
            <w:r w:rsidRPr="002A11FF">
              <w:rPr>
                <w:rFonts w:ascii="標楷體" w:eastAsia="標楷體" w:hAnsi="標楷體"/>
                <w:sz w:val="22"/>
              </w:rPr>
              <w:t>2</w:t>
            </w:r>
            <w:r w:rsidRPr="002A11FF">
              <w:rPr>
                <w:rFonts w:ascii="標楷體" w:eastAsia="標楷體" w:hAnsi="標楷體" w:hint="eastAsia"/>
                <w:sz w:val="22"/>
              </w:rPr>
              <w:t>公尺建築，其退縮部分得計入為法定空地，不得設置圍牆，並應植栽綠化，其餘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詳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建築退縮規定示意圖所示。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三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第三種住宅區、機關用地、公園用地、公園兼兒童遊樂場用地、廣場兼停車場用地臨計畫區外之可建築土地，應自計畫區邊界線至少退縮</w:t>
            </w:r>
            <w:r w:rsidRPr="002A11FF">
              <w:rPr>
                <w:rFonts w:ascii="標楷體" w:eastAsia="標楷體" w:hAnsi="標楷體"/>
                <w:sz w:val="22"/>
              </w:rPr>
              <w:t>2</w:t>
            </w:r>
            <w:r w:rsidRPr="002A11FF">
              <w:rPr>
                <w:rFonts w:ascii="標楷體" w:eastAsia="標楷體" w:hAnsi="標楷體" w:hint="eastAsia"/>
                <w:sz w:val="22"/>
              </w:rPr>
              <w:t>公尺建築。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2A11FF">
        <w:trPr>
          <w:trHeight w:val="1265"/>
        </w:trPr>
        <w:tc>
          <w:tcPr>
            <w:tcW w:w="1271" w:type="dxa"/>
            <w:vAlign w:val="center"/>
          </w:tcPr>
          <w:p w:rsidR="0098720B" w:rsidRDefault="002A11FF" w:rsidP="00987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4F3270" w:rsidRDefault="0098720B" w:rsidP="0098720B">
            <w:pPr>
              <w:jc w:val="both"/>
              <w:rPr>
                <w:rFonts w:ascii="標楷體" w:eastAsia="標楷體" w:hAnsi="標楷體"/>
              </w:rPr>
            </w:pPr>
            <w:r w:rsidRPr="004F3270">
              <w:rPr>
                <w:rFonts w:ascii="標楷體" w:eastAsia="標楷體" w:hAnsi="標楷體" w:hint="eastAsia"/>
              </w:rPr>
              <w:t>建築基地如有地下室開挖之必要者，地下一層應自最小退縮建築距離後，始得開挖建築；</w:t>
            </w:r>
            <w:proofErr w:type="gramStart"/>
            <w:r w:rsidRPr="004F3270">
              <w:rPr>
                <w:rFonts w:ascii="標楷體" w:eastAsia="標楷體" w:hAnsi="標楷體" w:hint="eastAsia"/>
              </w:rPr>
              <w:t>如屬角地</w:t>
            </w:r>
            <w:proofErr w:type="gramEnd"/>
            <w:r w:rsidRPr="004F3270">
              <w:rPr>
                <w:rFonts w:ascii="標楷體" w:eastAsia="標楷體" w:hAnsi="標楷體" w:hint="eastAsia"/>
              </w:rPr>
              <w:t>，應以較寬道路為退縮面，兩面道路寬度相同者，擇</w:t>
            </w:r>
            <w:proofErr w:type="gramStart"/>
            <w:r w:rsidRPr="004F3270">
              <w:rPr>
                <w:rFonts w:ascii="標楷體" w:eastAsia="標楷體" w:hAnsi="標楷體" w:hint="eastAsia"/>
              </w:rPr>
              <w:t>一</w:t>
            </w:r>
            <w:proofErr w:type="gramEnd"/>
            <w:r w:rsidRPr="004F3270">
              <w:rPr>
                <w:rFonts w:ascii="標楷體" w:eastAsia="標楷體" w:hAnsi="標楷體" w:hint="eastAsia"/>
              </w:rPr>
              <w:t>退縮，</w:t>
            </w:r>
            <w:proofErr w:type="gramStart"/>
            <w:r w:rsidRPr="004F3270">
              <w:rPr>
                <w:rFonts w:ascii="標楷體" w:eastAsia="標楷體" w:hAnsi="標楷體" w:hint="eastAsia"/>
              </w:rPr>
              <w:t>以利植栽</w:t>
            </w:r>
            <w:proofErr w:type="gramEnd"/>
            <w:r w:rsidRPr="004F3270">
              <w:rPr>
                <w:rFonts w:ascii="標楷體" w:eastAsia="標楷體" w:hAnsi="標楷體" w:hint="eastAsia"/>
              </w:rPr>
              <w:t>綠化及透水。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4601E1">
        <w:tc>
          <w:tcPr>
            <w:tcW w:w="1271" w:type="dxa"/>
            <w:vAlign w:val="center"/>
          </w:tcPr>
          <w:p w:rsidR="0098720B" w:rsidRDefault="002A11FF" w:rsidP="00987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4F3270" w:rsidRDefault="0098720B" w:rsidP="0098720B">
            <w:pPr>
              <w:jc w:val="both"/>
              <w:rPr>
                <w:rFonts w:ascii="標楷體" w:eastAsia="標楷體" w:hAnsi="標楷體"/>
              </w:rPr>
            </w:pPr>
            <w:r w:rsidRPr="004F3270">
              <w:rPr>
                <w:rFonts w:ascii="標楷體" w:eastAsia="標楷體" w:hAnsi="標楷體" w:hint="eastAsia"/>
              </w:rPr>
              <w:t>建築基地內所留設法定空地應植栽綠化，其綠化比例應達</w:t>
            </w:r>
            <w:r w:rsidRPr="004F3270">
              <w:rPr>
                <w:rFonts w:ascii="標楷體" w:eastAsia="標楷體" w:hAnsi="標楷體"/>
              </w:rPr>
              <w:t>50%</w:t>
            </w:r>
            <w:r w:rsidRPr="004F3270">
              <w:rPr>
                <w:rFonts w:ascii="標楷體" w:eastAsia="標楷體" w:hAnsi="標楷體" w:hint="eastAsia"/>
              </w:rPr>
              <w:t>以</w:t>
            </w:r>
            <w:r w:rsidRPr="004F3270">
              <w:rPr>
                <w:rFonts w:ascii="標楷體" w:eastAsia="標楷體" w:hAnsi="標楷體" w:hint="eastAsia"/>
              </w:rPr>
              <w:lastRenderedPageBreak/>
              <w:t>上，並依「新竹縣建築基地綠化實施辦法」辦理，且應考慮防災與緊急救護通行之需求。且公園用地、公園兼兒童遊樂場用地及綠地用地，施工時應依內政部</w:t>
            </w:r>
            <w:proofErr w:type="gramStart"/>
            <w:r w:rsidRPr="004F3270">
              <w:rPr>
                <w:rFonts w:ascii="標楷體" w:eastAsia="標楷體" w:hAnsi="標楷體" w:hint="eastAsia"/>
              </w:rPr>
              <w:t>函頒「</w:t>
            </w:r>
            <w:proofErr w:type="gramEnd"/>
            <w:r w:rsidRPr="004F3270">
              <w:rPr>
                <w:rFonts w:ascii="標楷體" w:eastAsia="標楷體" w:hAnsi="標楷體" w:hint="eastAsia"/>
              </w:rPr>
              <w:t>都市公園綠地各主要出入口無障礙設施設置原則」辦理。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A50F87">
        <w:trPr>
          <w:trHeight w:val="531"/>
        </w:trPr>
        <w:tc>
          <w:tcPr>
            <w:tcW w:w="1271" w:type="dxa"/>
            <w:vAlign w:val="center"/>
          </w:tcPr>
          <w:p w:rsidR="0098720B" w:rsidRPr="002A11FF" w:rsidRDefault="0098720B" w:rsidP="0098720B">
            <w:pPr>
              <w:jc w:val="center"/>
              <w:rPr>
                <w:rFonts w:ascii="標楷體" w:eastAsia="標楷體" w:hAnsi="標楷體"/>
                <w:b/>
              </w:rPr>
            </w:pPr>
            <w:r w:rsidRPr="002A11FF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2A11FF" w:rsidRDefault="0098720B" w:rsidP="0098720B">
            <w:pPr>
              <w:jc w:val="center"/>
              <w:rPr>
                <w:rFonts w:ascii="標楷體" w:eastAsia="標楷體" w:hAnsi="標楷體"/>
                <w:b/>
              </w:rPr>
            </w:pPr>
            <w:r w:rsidRPr="002A11FF">
              <w:rPr>
                <w:rFonts w:ascii="標楷體" w:eastAsia="標楷體" w:hAnsi="標楷體" w:hint="eastAsia"/>
                <w:b/>
              </w:rPr>
              <w:t>都市設計原則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2A11FF" w:rsidRDefault="0098720B" w:rsidP="0098720B">
            <w:pPr>
              <w:jc w:val="center"/>
              <w:rPr>
                <w:rFonts w:ascii="標楷體" w:eastAsia="標楷體" w:hAnsi="標楷體"/>
                <w:b/>
              </w:rPr>
            </w:pPr>
            <w:r w:rsidRPr="002A11FF">
              <w:rPr>
                <w:rFonts w:ascii="標楷體" w:eastAsia="標楷體" w:hAnsi="標楷體" w:hint="eastAsia"/>
                <w:b/>
              </w:rPr>
              <w:t>開發及設計說明</w:t>
            </w:r>
          </w:p>
        </w:tc>
        <w:tc>
          <w:tcPr>
            <w:tcW w:w="1842" w:type="dxa"/>
            <w:gridSpan w:val="3"/>
            <w:vAlign w:val="center"/>
          </w:tcPr>
          <w:p w:rsidR="0098720B" w:rsidRPr="002A11FF" w:rsidRDefault="0098720B" w:rsidP="0098720B">
            <w:pPr>
              <w:jc w:val="center"/>
              <w:rPr>
                <w:rFonts w:ascii="標楷體" w:eastAsia="標楷體" w:hAnsi="標楷體"/>
                <w:b/>
              </w:rPr>
            </w:pPr>
            <w:r w:rsidRPr="002A11FF">
              <w:rPr>
                <w:rFonts w:ascii="標楷體" w:eastAsia="標楷體" w:hAnsi="標楷體" w:hint="eastAsia"/>
                <w:b/>
              </w:rPr>
              <w:t>條件符合</w:t>
            </w:r>
          </w:p>
        </w:tc>
        <w:tc>
          <w:tcPr>
            <w:tcW w:w="1418" w:type="dxa"/>
            <w:vAlign w:val="center"/>
          </w:tcPr>
          <w:p w:rsidR="0098720B" w:rsidRPr="002A11FF" w:rsidRDefault="0098720B" w:rsidP="0098720B">
            <w:pPr>
              <w:jc w:val="center"/>
              <w:rPr>
                <w:rFonts w:ascii="標楷體" w:eastAsia="標楷體" w:hAnsi="標楷體"/>
                <w:b/>
              </w:rPr>
            </w:pPr>
            <w:r w:rsidRPr="002A11F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98720B" w:rsidRPr="000C37E3" w:rsidTr="004601E1">
        <w:tc>
          <w:tcPr>
            <w:tcW w:w="1271" w:type="dxa"/>
            <w:vAlign w:val="center"/>
          </w:tcPr>
          <w:p w:rsidR="0098720B" w:rsidRDefault="0098720B" w:rsidP="00987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公共開放空間設計原則：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一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本計畫區除道路用地及廣場兼停車場用地必要出入動線外，其餘公共設施用地之主要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舖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面應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採用透水舖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面等保水設計，且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舖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面造型與色彩應加以變化排列。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二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建築基地</w:t>
            </w: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含機關用地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依土地使用分區管制要點所應退縮部分，應與相鄰之計畫道路設施帶、公共設施用地、建築物出入口、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同街廓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其他建築基地之退縮部分達成良好聯繫為原則。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三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本計畫區內相鄰之各開放空間應相互配合設計，其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舖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面高程應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採順接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處理。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4601E1">
        <w:tc>
          <w:tcPr>
            <w:tcW w:w="1271" w:type="dxa"/>
            <w:vAlign w:val="center"/>
          </w:tcPr>
          <w:p w:rsidR="0098720B" w:rsidRDefault="0098720B" w:rsidP="00987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交通運輸系統、人行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空間或步道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系統設計原則：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一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本計畫區內</w:t>
            </w:r>
            <w:r w:rsidRPr="002A11FF">
              <w:rPr>
                <w:rFonts w:ascii="標楷體" w:eastAsia="標楷體" w:hAnsi="標楷體"/>
                <w:sz w:val="22"/>
              </w:rPr>
              <w:t>12M</w:t>
            </w:r>
            <w:r w:rsidRPr="002A11FF">
              <w:rPr>
                <w:rFonts w:ascii="標楷體" w:eastAsia="標楷體" w:hAnsi="標楷體" w:hint="eastAsia"/>
                <w:sz w:val="22"/>
              </w:rPr>
              <w:t>計畫道路應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人車分離之原則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劃設人行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步道，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且步道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寬度不得小於</w:t>
            </w:r>
            <w:r w:rsidRPr="002A11FF">
              <w:rPr>
                <w:rFonts w:ascii="標楷體" w:eastAsia="標楷體" w:hAnsi="標楷體"/>
                <w:sz w:val="22"/>
              </w:rPr>
              <w:t>1.5</w:t>
            </w:r>
            <w:r w:rsidRPr="002A11FF">
              <w:rPr>
                <w:rFonts w:ascii="標楷體" w:eastAsia="標楷體" w:hAnsi="標楷體" w:hint="eastAsia"/>
                <w:sz w:val="22"/>
              </w:rPr>
              <w:t>公尺。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二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其餘人行空間藉由建築退縮予以串聯本計畫區劃設之開放空間系統。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4601E1">
        <w:tc>
          <w:tcPr>
            <w:tcW w:w="1271" w:type="dxa"/>
            <w:vAlign w:val="center"/>
          </w:tcPr>
          <w:p w:rsidR="0098720B" w:rsidRDefault="0098720B" w:rsidP="00987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圍牆設置原則：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一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本計畫區指定建築退縮部分不得設置圍牆。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二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本計畫區建築基地</w:t>
            </w: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含機關用地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除前款規定外之其他部分得設置圍牆，如設置圍牆者，其圍牆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透空率不得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小於</w:t>
            </w:r>
            <w:r w:rsidRPr="002A11FF">
              <w:rPr>
                <w:rFonts w:ascii="標楷體" w:eastAsia="標楷體" w:hAnsi="標楷體"/>
                <w:sz w:val="22"/>
              </w:rPr>
              <w:t>70%</w:t>
            </w:r>
            <w:r w:rsidRPr="002A11FF">
              <w:rPr>
                <w:rFonts w:ascii="標楷體" w:eastAsia="標楷體" w:hAnsi="標楷體" w:hint="eastAsia"/>
                <w:sz w:val="22"/>
              </w:rPr>
              <w:t>，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牆基高度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不得大於</w:t>
            </w:r>
            <w:r w:rsidRPr="002A11FF">
              <w:rPr>
                <w:rFonts w:ascii="標楷體" w:eastAsia="標楷體" w:hAnsi="標楷體"/>
                <w:sz w:val="22"/>
              </w:rPr>
              <w:t>45</w:t>
            </w:r>
            <w:r w:rsidRPr="002A11FF">
              <w:rPr>
                <w:rFonts w:ascii="標楷體" w:eastAsia="標楷體" w:hAnsi="標楷體" w:hint="eastAsia"/>
                <w:sz w:val="22"/>
              </w:rPr>
              <w:t>公分，且圍牆總高度不得大於</w:t>
            </w:r>
            <w:r w:rsidRPr="002A11FF">
              <w:rPr>
                <w:rFonts w:ascii="標楷體" w:eastAsia="標楷體" w:hAnsi="標楷體"/>
                <w:sz w:val="22"/>
              </w:rPr>
              <w:t>1.5</w:t>
            </w:r>
            <w:r w:rsidRPr="002A11FF">
              <w:rPr>
                <w:rFonts w:ascii="標楷體" w:eastAsia="標楷體" w:hAnsi="標楷體" w:hint="eastAsia"/>
                <w:sz w:val="22"/>
              </w:rPr>
              <w:t>公尺，圍牆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綠籬代替，則不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受透空率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之限制，然高度亦不得大於</w:t>
            </w:r>
            <w:r w:rsidRPr="002A11FF">
              <w:rPr>
                <w:rFonts w:ascii="標楷體" w:eastAsia="標楷體" w:hAnsi="標楷體"/>
                <w:sz w:val="22"/>
              </w:rPr>
              <w:t>1.5</w:t>
            </w:r>
            <w:r w:rsidRPr="002A11FF">
              <w:rPr>
                <w:rFonts w:ascii="標楷體" w:eastAsia="標楷體" w:hAnsi="標楷體" w:hint="eastAsia"/>
                <w:sz w:val="22"/>
              </w:rPr>
              <w:t>公尺。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4601E1">
        <w:tc>
          <w:tcPr>
            <w:tcW w:w="1271" w:type="dxa"/>
            <w:vAlign w:val="center"/>
          </w:tcPr>
          <w:p w:rsidR="0098720B" w:rsidRDefault="0098720B" w:rsidP="00987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建築量體、公共設施及公用設備設計原則：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第三種住宅區、第二種商業區建築物高度以不得大於</w:t>
            </w:r>
            <w:r w:rsidRPr="002A11FF">
              <w:rPr>
                <w:rFonts w:ascii="標楷體" w:eastAsia="標楷體" w:hAnsi="標楷體"/>
                <w:sz w:val="22"/>
              </w:rPr>
              <w:t>30</w:t>
            </w:r>
            <w:r w:rsidRPr="002A11FF">
              <w:rPr>
                <w:rFonts w:ascii="標楷體" w:eastAsia="標楷體" w:hAnsi="標楷體" w:hint="eastAsia"/>
                <w:sz w:val="22"/>
              </w:rPr>
              <w:t>公尺為原則。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二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公共管線應以地下化為原則，若管線暴露於公共主要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道路線上時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，應加以美化處理。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(三)本計畫區應依消防法設置消防設施。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4601E1">
        <w:tc>
          <w:tcPr>
            <w:tcW w:w="1271" w:type="dxa"/>
            <w:vAlign w:val="center"/>
          </w:tcPr>
          <w:p w:rsidR="0098720B" w:rsidRDefault="0098720B" w:rsidP="00987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環境保護設施配置原則</w:t>
            </w:r>
          </w:p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本計畫區主要環境保護設施為污水處理設施，未來依實際需要設置於公園用地，且應利用景觀植栽與緩衝綠地空間的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留設來避免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視覺景觀的影響。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4601E1">
        <w:tc>
          <w:tcPr>
            <w:tcW w:w="1271" w:type="dxa"/>
            <w:vAlign w:val="center"/>
          </w:tcPr>
          <w:p w:rsidR="0098720B" w:rsidRDefault="0098720B" w:rsidP="009872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綠化植栽及景觀設計原則：</w:t>
            </w:r>
          </w:p>
          <w:p w:rsidR="0098720B" w:rsidRPr="002A11FF" w:rsidRDefault="0098720B" w:rsidP="0098720B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)公共設施景觀意象</w:t>
            </w:r>
          </w:p>
          <w:p w:rsidR="0098720B" w:rsidRPr="002A11FF" w:rsidRDefault="0098720B" w:rsidP="0098720B">
            <w:pPr>
              <w:ind w:leftChars="205" w:left="710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1.</w:t>
            </w:r>
            <w:r w:rsidRPr="002A11FF">
              <w:rPr>
                <w:rFonts w:ascii="標楷體" w:eastAsia="標楷體" w:hAnsi="標楷體" w:hint="eastAsia"/>
                <w:sz w:val="22"/>
              </w:rPr>
              <w:t>就公共開放空間而言，包含兩個不同之性質，屬於計畫區邊界空間之地區，應藉由複層植栽來提升景觀緩衝之功能；屬於計畫區核心、街道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沿線、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節點功能之開放空間則應藉由景觀喬木的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佈設來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建構視覺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自明性意象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8720B" w:rsidRPr="002A11FF" w:rsidRDefault="0098720B" w:rsidP="0098720B">
            <w:pPr>
              <w:ind w:leftChars="205" w:left="710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2.</w:t>
            </w:r>
            <w:r w:rsidRPr="002A11FF">
              <w:rPr>
                <w:rFonts w:ascii="標楷體" w:eastAsia="標楷體" w:hAnsi="標楷體" w:hint="eastAsia"/>
                <w:sz w:val="22"/>
              </w:rPr>
              <w:t>就道路系統而言，本計畫區內</w:t>
            </w:r>
            <w:r w:rsidRPr="002A11FF">
              <w:rPr>
                <w:rFonts w:ascii="標楷體" w:eastAsia="標楷體" w:hAnsi="標楷體"/>
                <w:sz w:val="22"/>
              </w:rPr>
              <w:t xml:space="preserve">12M </w:t>
            </w:r>
            <w:r w:rsidRPr="002A11FF">
              <w:rPr>
                <w:rFonts w:ascii="標楷體" w:eastAsia="標楷體" w:hAnsi="標楷體" w:hint="eastAsia"/>
                <w:sz w:val="22"/>
              </w:rPr>
              <w:t>計畫道路應於路權內預留植栽帶，並於其內佈設景觀植栽，從而強化計畫區主軸道路之意象。</w:t>
            </w:r>
          </w:p>
          <w:p w:rsidR="0098720B" w:rsidRPr="002A11FF" w:rsidRDefault="0098720B" w:rsidP="0098720B">
            <w:pPr>
              <w:ind w:left="425" w:hangingChars="193" w:hanging="425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二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建築基地景觀意象建築基地</w:t>
            </w:r>
            <w:r w:rsidRPr="002A11FF">
              <w:rPr>
                <w:rFonts w:ascii="標楷體" w:eastAsia="標楷體" w:hAnsi="標楷體"/>
                <w:sz w:val="22"/>
              </w:rPr>
              <w:t>(</w:t>
            </w:r>
            <w:r w:rsidRPr="002A11FF">
              <w:rPr>
                <w:rFonts w:ascii="標楷體" w:eastAsia="標楷體" w:hAnsi="標楷體" w:hint="eastAsia"/>
                <w:sz w:val="22"/>
              </w:rPr>
              <w:t>含機關用地</w:t>
            </w:r>
            <w:r w:rsidRPr="002A11FF">
              <w:rPr>
                <w:rFonts w:ascii="標楷體" w:eastAsia="標楷體" w:hAnsi="標楷體"/>
                <w:sz w:val="22"/>
              </w:rPr>
              <w:t>)</w:t>
            </w:r>
            <w:r w:rsidRPr="002A11FF">
              <w:rPr>
                <w:rFonts w:ascii="標楷體" w:eastAsia="標楷體" w:hAnsi="標楷體" w:hint="eastAsia"/>
                <w:sz w:val="22"/>
              </w:rPr>
              <w:t>內之法定空地應留設二分之一以上之植栽綠化面積為原則，以提升整體建築基地景觀視覺品質，並就建築綠化及建築配置之景觀設計原則分述如下：</w:t>
            </w:r>
          </w:p>
          <w:p w:rsidR="0098720B" w:rsidRPr="002A11FF" w:rsidRDefault="0098720B" w:rsidP="0098720B">
            <w:pPr>
              <w:ind w:leftChars="205" w:left="710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1.</w:t>
            </w:r>
            <w:r w:rsidRPr="002A11FF">
              <w:rPr>
                <w:rFonts w:ascii="標楷體" w:eastAsia="標楷體" w:hAnsi="標楷體" w:hint="eastAsia"/>
                <w:sz w:val="22"/>
              </w:rPr>
              <w:t>建築物臨接或面向公園用地、公園兼兒童遊樂場用地、廣場兼停車場用地、綠地用地部分，如有暴露通風、通氣、廢氣排出口等有礙觀瞻之設施設備，應</w:t>
            </w:r>
            <w:proofErr w:type="gramStart"/>
            <w:r w:rsidRPr="002A11FF">
              <w:rPr>
                <w:rFonts w:ascii="標楷體" w:eastAsia="標楷體" w:hAnsi="標楷體" w:hint="eastAsia"/>
                <w:sz w:val="22"/>
              </w:rPr>
              <w:t>採</w:t>
            </w:r>
            <w:proofErr w:type="gramEnd"/>
            <w:r w:rsidRPr="002A11FF">
              <w:rPr>
                <w:rFonts w:ascii="標楷體" w:eastAsia="標楷體" w:hAnsi="標楷體" w:hint="eastAsia"/>
                <w:sz w:val="22"/>
              </w:rPr>
              <w:t>適當之遮蔽處理與設計。</w:t>
            </w:r>
          </w:p>
          <w:p w:rsidR="0098720B" w:rsidRPr="002A11FF" w:rsidRDefault="0098720B" w:rsidP="0098720B">
            <w:pPr>
              <w:ind w:leftChars="205" w:left="710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 w:rsidRPr="002A11FF">
              <w:rPr>
                <w:rFonts w:ascii="標楷體" w:eastAsia="標楷體" w:hAnsi="標楷體"/>
                <w:sz w:val="22"/>
              </w:rPr>
              <w:t>2.</w:t>
            </w:r>
            <w:r w:rsidRPr="002A11FF">
              <w:rPr>
                <w:rFonts w:ascii="標楷體" w:eastAsia="標楷體" w:hAnsi="標楷體" w:hint="eastAsia"/>
                <w:sz w:val="22"/>
              </w:rPr>
              <w:t>建築物屋頂之各項設施，如水塔等，須於建築設計中加以隱藏包圍，不得外露。</w:t>
            </w:r>
          </w:p>
        </w:tc>
        <w:tc>
          <w:tcPr>
            <w:tcW w:w="2923" w:type="dxa"/>
            <w:gridSpan w:val="3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>□ 是</w:t>
            </w:r>
          </w:p>
        </w:tc>
        <w:tc>
          <w:tcPr>
            <w:tcW w:w="921" w:type="dxa"/>
            <w:vAlign w:val="center"/>
          </w:tcPr>
          <w:p w:rsidR="0098720B" w:rsidRPr="000C37E3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0C37E3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418" w:type="dxa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C7307E">
        <w:trPr>
          <w:trHeight w:val="1250"/>
        </w:trPr>
        <w:tc>
          <w:tcPr>
            <w:tcW w:w="1271" w:type="dxa"/>
            <w:vAlign w:val="center"/>
          </w:tcPr>
          <w:p w:rsidR="0098720B" w:rsidRDefault="0098720B" w:rsidP="0098720B">
            <w:pPr>
              <w:jc w:val="center"/>
              <w:rPr>
                <w:rFonts w:ascii="標楷體" w:eastAsia="標楷體" w:hAnsi="標楷體"/>
              </w:rPr>
            </w:pPr>
            <w:r w:rsidRPr="009C4822">
              <w:rPr>
                <w:rFonts w:ascii="標楷體" w:eastAsia="標楷體" w:hAnsi="標楷體" w:hint="eastAsia"/>
              </w:rPr>
              <w:t>設計建築師簽證欄</w:t>
            </w:r>
          </w:p>
        </w:tc>
        <w:tc>
          <w:tcPr>
            <w:tcW w:w="7000" w:type="dxa"/>
            <w:gridSpan w:val="5"/>
            <w:vAlign w:val="center"/>
          </w:tcPr>
          <w:p w:rsidR="0098720B" w:rsidRPr="00E42669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98720B" w:rsidRPr="000C37E3" w:rsidRDefault="0098720B" w:rsidP="00C730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審查委員</w:t>
            </w:r>
            <w:r w:rsidR="00D770D1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394" w:type="dxa"/>
            <w:gridSpan w:val="5"/>
            <w:vAlign w:val="center"/>
          </w:tcPr>
          <w:p w:rsidR="0098720B" w:rsidRPr="000C37E3" w:rsidRDefault="0098720B" w:rsidP="009872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8720B" w:rsidRPr="000C37E3" w:rsidTr="002100E5">
        <w:trPr>
          <w:trHeight w:val="954"/>
        </w:trPr>
        <w:tc>
          <w:tcPr>
            <w:tcW w:w="14454" w:type="dxa"/>
            <w:gridSpan w:val="13"/>
            <w:vAlign w:val="center"/>
          </w:tcPr>
          <w:p w:rsidR="0098720B" w:rsidRPr="002100E5" w:rsidRDefault="0098720B" w:rsidP="0098720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100E5">
              <w:rPr>
                <w:rFonts w:ascii="標楷體" w:eastAsia="標楷體" w:hAnsi="標楷體" w:hint="eastAsia"/>
                <w:sz w:val="20"/>
                <w:szCs w:val="20"/>
              </w:rPr>
              <w:t>備註：本查核表未列之項目依擬定新豐</w:t>
            </w:r>
            <w:r w:rsidRPr="002100E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100E5">
              <w:rPr>
                <w:rFonts w:ascii="標楷體" w:eastAsia="標楷體" w:hAnsi="標楷體" w:hint="eastAsia"/>
                <w:sz w:val="20"/>
                <w:szCs w:val="20"/>
              </w:rPr>
              <w:t>山</w:t>
            </w:r>
            <w:proofErr w:type="gramStart"/>
            <w:r w:rsidRPr="002100E5">
              <w:rPr>
                <w:rFonts w:ascii="標楷體" w:eastAsia="標楷體" w:hAnsi="標楷體" w:hint="eastAsia"/>
                <w:sz w:val="20"/>
                <w:szCs w:val="20"/>
              </w:rPr>
              <w:t>崎</w:t>
            </w:r>
            <w:proofErr w:type="gramEnd"/>
            <w:r w:rsidRPr="002100E5">
              <w:rPr>
                <w:rFonts w:ascii="標楷體" w:eastAsia="標楷體" w:hAnsi="標楷體" w:hint="eastAsia"/>
                <w:sz w:val="20"/>
                <w:szCs w:val="20"/>
              </w:rPr>
              <w:t>地區</w:t>
            </w:r>
            <w:r w:rsidRPr="002100E5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100E5">
              <w:rPr>
                <w:rFonts w:ascii="標楷體" w:eastAsia="標楷體" w:hAnsi="標楷體" w:hint="eastAsia"/>
                <w:sz w:val="20"/>
                <w:szCs w:val="20"/>
              </w:rPr>
              <w:t>都市計畫</w:t>
            </w:r>
            <w:r w:rsidRPr="002100E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100E5">
              <w:rPr>
                <w:rFonts w:ascii="標楷體" w:eastAsia="標楷體" w:hAnsi="標楷體" w:hint="eastAsia"/>
                <w:sz w:val="20"/>
                <w:szCs w:val="20"/>
              </w:rPr>
              <w:t>部分農業區為第三種住宅區、第二種商業區、機關用地、公園用地、公園兼兒童遊樂場用地、綠地用地、廣場用地、廣場兼停車場用地、道路用地</w:t>
            </w:r>
            <w:r w:rsidRPr="002100E5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  <w:r w:rsidRPr="002100E5">
              <w:rPr>
                <w:rFonts w:ascii="標楷體" w:eastAsia="標楷體" w:hAnsi="標楷體" w:hint="eastAsia"/>
                <w:sz w:val="20"/>
                <w:szCs w:val="20"/>
              </w:rPr>
              <w:t>細部計畫之土地使用分區管制要點及都市設計管制事項</w:t>
            </w:r>
            <w:r w:rsidRPr="002100E5">
              <w:rPr>
                <w:rFonts w:ascii="標楷體" w:eastAsia="標楷體" w:hAnsi="標楷體"/>
                <w:sz w:val="20"/>
                <w:szCs w:val="20"/>
              </w:rPr>
              <w:t>(104</w:t>
            </w:r>
            <w:r w:rsidRPr="002100E5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Pr="002100E5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2100E5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2100E5">
              <w:rPr>
                <w:rFonts w:ascii="標楷體" w:eastAsia="標楷體" w:hAnsi="標楷體"/>
                <w:sz w:val="20"/>
                <w:szCs w:val="20"/>
              </w:rPr>
              <w:t>23</w:t>
            </w:r>
            <w:r w:rsidRPr="002100E5">
              <w:rPr>
                <w:rFonts w:ascii="標楷體" w:eastAsia="標楷體" w:hAnsi="標楷體" w:hint="eastAsia"/>
                <w:sz w:val="20"/>
                <w:szCs w:val="20"/>
              </w:rPr>
              <w:t>日公告</w:t>
            </w:r>
            <w:r w:rsidRPr="002100E5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2100E5">
              <w:rPr>
                <w:rFonts w:ascii="標楷體" w:eastAsia="標楷體" w:hAnsi="標楷體" w:hint="eastAsia"/>
                <w:sz w:val="20"/>
                <w:szCs w:val="20"/>
              </w:rPr>
              <w:t>辦理。</w:t>
            </w:r>
          </w:p>
        </w:tc>
      </w:tr>
    </w:tbl>
    <w:p w:rsidR="000C37E3" w:rsidRPr="00AD3369" w:rsidRDefault="000C37E3">
      <w:bookmarkStart w:id="0" w:name="_GoBack"/>
      <w:bookmarkEnd w:id="0"/>
    </w:p>
    <w:sectPr w:rsidR="000C37E3" w:rsidRPr="00AD3369" w:rsidSect="002100E5">
      <w:footerReference w:type="default" r:id="rId6"/>
      <w:pgSz w:w="16840" w:h="23814" w:code="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87" w:rsidRDefault="00A50F87" w:rsidP="00A50F87">
      <w:r>
        <w:separator/>
      </w:r>
    </w:p>
  </w:endnote>
  <w:endnote w:type="continuationSeparator" w:id="0">
    <w:p w:rsidR="00A50F87" w:rsidRDefault="00A50F87" w:rsidP="00A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190070"/>
      <w:docPartObj>
        <w:docPartGallery w:val="Page Numbers (Bottom of Page)"/>
        <w:docPartUnique/>
      </w:docPartObj>
    </w:sdtPr>
    <w:sdtEndPr/>
    <w:sdtContent>
      <w:p w:rsidR="00A50F87" w:rsidRDefault="00A50F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E5" w:rsidRPr="002100E5">
          <w:rPr>
            <w:noProof/>
            <w:lang w:val="zh-TW"/>
          </w:rPr>
          <w:t>2</w:t>
        </w:r>
        <w:r>
          <w:fldChar w:fldCharType="end"/>
        </w:r>
      </w:p>
    </w:sdtContent>
  </w:sdt>
  <w:p w:rsidR="00A50F87" w:rsidRDefault="00A50F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87" w:rsidRDefault="00A50F87" w:rsidP="00A50F87">
      <w:r>
        <w:separator/>
      </w:r>
    </w:p>
  </w:footnote>
  <w:footnote w:type="continuationSeparator" w:id="0">
    <w:p w:rsidR="00A50F87" w:rsidRDefault="00A50F87" w:rsidP="00A50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E3"/>
    <w:rsid w:val="000C37E3"/>
    <w:rsid w:val="002100E5"/>
    <w:rsid w:val="002A11FF"/>
    <w:rsid w:val="004601E1"/>
    <w:rsid w:val="004F3270"/>
    <w:rsid w:val="005D704A"/>
    <w:rsid w:val="0098720B"/>
    <w:rsid w:val="009C4822"/>
    <w:rsid w:val="00A50F87"/>
    <w:rsid w:val="00AD3369"/>
    <w:rsid w:val="00C7307E"/>
    <w:rsid w:val="00D41745"/>
    <w:rsid w:val="00D770D1"/>
    <w:rsid w:val="00E42669"/>
    <w:rsid w:val="00F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B9E2C-10D4-4EBE-9A25-34321AD7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F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F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王筱文</dc:creator>
  <cp:keywords/>
  <dc:description/>
  <cp:lastModifiedBy>黃聿恒</cp:lastModifiedBy>
  <cp:revision>13</cp:revision>
  <dcterms:created xsi:type="dcterms:W3CDTF">2019-08-29T02:22:00Z</dcterms:created>
  <dcterms:modified xsi:type="dcterms:W3CDTF">2019-08-29T06:10:00Z</dcterms:modified>
</cp:coreProperties>
</file>