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3FF" w:rsidRPr="002B23FF" w:rsidRDefault="002B23FF" w:rsidP="002B23FF">
      <w:pPr>
        <w:pStyle w:val="Default"/>
        <w:rPr>
          <w:rFonts w:hAnsi="標楷體"/>
          <w:sz w:val="28"/>
          <w:szCs w:val="28"/>
        </w:rPr>
      </w:pPr>
      <w:r w:rsidRPr="002B23FF">
        <w:rPr>
          <w:rFonts w:hAnsi="標楷體" w:hint="eastAsia"/>
          <w:sz w:val="28"/>
          <w:szCs w:val="28"/>
        </w:rPr>
        <w:t>兒童及少年福利與權益保障法</w:t>
      </w:r>
      <w:r w:rsidRPr="002B23FF">
        <w:rPr>
          <w:rFonts w:hAnsi="標楷體"/>
          <w:sz w:val="28"/>
          <w:szCs w:val="28"/>
        </w:rPr>
        <w:t>(</w:t>
      </w:r>
      <w:r w:rsidRPr="002B23FF">
        <w:rPr>
          <w:rFonts w:hAnsi="標楷體" w:hint="eastAsia"/>
          <w:sz w:val="28"/>
          <w:szCs w:val="28"/>
        </w:rPr>
        <w:t>收出養部分條文</w:t>
      </w:r>
      <w:r w:rsidRPr="002B23FF">
        <w:rPr>
          <w:rFonts w:hAnsi="標楷體"/>
          <w:sz w:val="28"/>
          <w:szCs w:val="28"/>
        </w:rPr>
        <w:t xml:space="preserve">) </w:t>
      </w:r>
    </w:p>
    <w:p w:rsidR="002B23FF" w:rsidRDefault="002B23FF" w:rsidP="002B23FF">
      <w:pPr>
        <w:pStyle w:val="Default"/>
        <w:rPr>
          <w:rFonts w:hAnsi="標楷體" w:hint="eastAsia"/>
          <w:sz w:val="28"/>
          <w:szCs w:val="28"/>
        </w:rPr>
      </w:pPr>
      <w:r w:rsidRPr="002B23FF">
        <w:rPr>
          <w:rFonts w:hAnsi="標楷體" w:hint="eastAsia"/>
          <w:sz w:val="28"/>
          <w:szCs w:val="28"/>
        </w:rPr>
        <w:t>第十五條</w:t>
      </w:r>
      <w:r w:rsidRPr="002B23FF">
        <w:rPr>
          <w:rFonts w:hAnsi="標楷體"/>
          <w:sz w:val="28"/>
          <w:szCs w:val="28"/>
        </w:rPr>
        <w:t xml:space="preserve"> </w:t>
      </w:r>
      <w:r w:rsidRPr="002B23FF">
        <w:rPr>
          <w:rFonts w:hAnsi="標楷體" w:hint="eastAsia"/>
          <w:sz w:val="28"/>
          <w:szCs w:val="28"/>
        </w:rPr>
        <w:t>從事收</w:t>
      </w:r>
      <w:proofErr w:type="gramStart"/>
      <w:r w:rsidRPr="002B23FF">
        <w:rPr>
          <w:rFonts w:hAnsi="標楷體" w:hint="eastAsia"/>
          <w:sz w:val="28"/>
          <w:szCs w:val="28"/>
        </w:rPr>
        <w:t>出養媒合</w:t>
      </w:r>
      <w:proofErr w:type="gramEnd"/>
      <w:r w:rsidRPr="002B23FF">
        <w:rPr>
          <w:rFonts w:hAnsi="標楷體" w:hint="eastAsia"/>
          <w:sz w:val="28"/>
          <w:szCs w:val="28"/>
        </w:rPr>
        <w:t>服務，以經主管機關許可之財團法人、公私立兒童及少年安置、教養機構（以下統稱收出養媒合服務者）為限。</w:t>
      </w:r>
      <w:r w:rsidRPr="002B23FF">
        <w:rPr>
          <w:rFonts w:hAnsi="標楷體"/>
          <w:sz w:val="28"/>
          <w:szCs w:val="28"/>
        </w:rPr>
        <w:t xml:space="preserve"> </w:t>
      </w:r>
    </w:p>
    <w:p w:rsidR="002B23FF" w:rsidRPr="002B23FF" w:rsidRDefault="002B23FF" w:rsidP="002B23FF">
      <w:pPr>
        <w:pStyle w:val="Default"/>
        <w:rPr>
          <w:rFonts w:hAnsi="標楷體"/>
          <w:sz w:val="28"/>
          <w:szCs w:val="28"/>
        </w:rPr>
      </w:pPr>
      <w:r>
        <w:rPr>
          <w:rFonts w:hAnsi="標楷體" w:hint="eastAsia"/>
          <w:sz w:val="28"/>
          <w:szCs w:val="28"/>
        </w:rPr>
        <w:t>收</w:t>
      </w:r>
      <w:proofErr w:type="gramStart"/>
      <w:r>
        <w:rPr>
          <w:rFonts w:hAnsi="標楷體" w:hint="eastAsia"/>
          <w:sz w:val="28"/>
          <w:szCs w:val="28"/>
        </w:rPr>
        <w:t>出養媒合</w:t>
      </w:r>
      <w:proofErr w:type="gramEnd"/>
      <w:r>
        <w:rPr>
          <w:rFonts w:hAnsi="標楷體" w:hint="eastAsia"/>
          <w:sz w:val="28"/>
          <w:szCs w:val="28"/>
        </w:rPr>
        <w:t>服務者應評估並安排收養人與兒童、少年先行共同生活或漸進式接觸。</w:t>
      </w:r>
    </w:p>
    <w:p w:rsidR="002B23FF" w:rsidRPr="002B23FF" w:rsidRDefault="002B23FF" w:rsidP="002B23FF">
      <w:pPr>
        <w:pStyle w:val="Default"/>
        <w:rPr>
          <w:rFonts w:hAnsi="標楷體"/>
          <w:sz w:val="28"/>
          <w:szCs w:val="28"/>
        </w:rPr>
      </w:pPr>
      <w:r w:rsidRPr="002B23FF">
        <w:rPr>
          <w:rFonts w:hAnsi="標楷體" w:hint="eastAsia"/>
          <w:sz w:val="28"/>
          <w:szCs w:val="28"/>
        </w:rPr>
        <w:t>收</w:t>
      </w:r>
      <w:proofErr w:type="gramStart"/>
      <w:r w:rsidRPr="002B23FF">
        <w:rPr>
          <w:rFonts w:hAnsi="標楷體" w:hint="eastAsia"/>
          <w:sz w:val="28"/>
          <w:szCs w:val="28"/>
        </w:rPr>
        <w:t>出養媒合</w:t>
      </w:r>
      <w:proofErr w:type="gramEnd"/>
      <w:r w:rsidRPr="002B23FF">
        <w:rPr>
          <w:rFonts w:hAnsi="標楷體" w:hint="eastAsia"/>
          <w:sz w:val="28"/>
          <w:szCs w:val="28"/>
        </w:rPr>
        <w:t>服務者從事收</w:t>
      </w:r>
      <w:proofErr w:type="gramStart"/>
      <w:r w:rsidRPr="002B23FF">
        <w:rPr>
          <w:rFonts w:hAnsi="標楷體" w:hint="eastAsia"/>
          <w:sz w:val="28"/>
          <w:szCs w:val="28"/>
        </w:rPr>
        <w:t>出養媒合</w:t>
      </w:r>
      <w:proofErr w:type="gramEnd"/>
      <w:r w:rsidRPr="002B23FF">
        <w:rPr>
          <w:rFonts w:hAnsi="標楷體" w:hint="eastAsia"/>
          <w:sz w:val="28"/>
          <w:szCs w:val="28"/>
        </w:rPr>
        <w:t>服務，得向收養人收取服務費用。</w:t>
      </w:r>
      <w:r w:rsidRPr="002B23FF">
        <w:rPr>
          <w:rFonts w:hAnsi="標楷體"/>
          <w:sz w:val="28"/>
          <w:szCs w:val="28"/>
        </w:rPr>
        <w:t xml:space="preserve"> </w:t>
      </w:r>
    </w:p>
    <w:p w:rsidR="002B23FF" w:rsidRPr="002B23FF" w:rsidRDefault="002B23FF" w:rsidP="002B23FF">
      <w:pPr>
        <w:pStyle w:val="Default"/>
        <w:rPr>
          <w:rFonts w:hAnsi="標楷體"/>
          <w:sz w:val="28"/>
          <w:szCs w:val="28"/>
        </w:rPr>
      </w:pPr>
      <w:r w:rsidRPr="002B23FF">
        <w:rPr>
          <w:rFonts w:hAnsi="標楷體" w:hint="eastAsia"/>
          <w:sz w:val="28"/>
          <w:szCs w:val="28"/>
        </w:rPr>
        <w:t>第一項收</w:t>
      </w:r>
      <w:proofErr w:type="gramStart"/>
      <w:r w:rsidRPr="002B23FF">
        <w:rPr>
          <w:rFonts w:hAnsi="標楷體" w:hint="eastAsia"/>
          <w:sz w:val="28"/>
          <w:szCs w:val="28"/>
        </w:rPr>
        <w:t>出養媒合</w:t>
      </w:r>
      <w:proofErr w:type="gramEnd"/>
      <w:r w:rsidRPr="002B23FF">
        <w:rPr>
          <w:rFonts w:hAnsi="標楷體" w:hint="eastAsia"/>
          <w:sz w:val="28"/>
          <w:szCs w:val="28"/>
        </w:rPr>
        <w:t>服務者之資格條件、申請程序、許可之發給、撤銷與廢止許可、服務範圍、業務檢查與其管理、停業、歇業、復業、</w:t>
      </w:r>
      <w:r>
        <w:rPr>
          <w:rFonts w:hAnsi="標楷體" w:hint="eastAsia"/>
          <w:sz w:val="28"/>
          <w:szCs w:val="28"/>
        </w:rPr>
        <w:t>第二項之服務、</w:t>
      </w:r>
      <w:r w:rsidRPr="002B23FF">
        <w:rPr>
          <w:rFonts w:hAnsi="標楷體" w:hint="eastAsia"/>
          <w:sz w:val="28"/>
          <w:szCs w:val="28"/>
        </w:rPr>
        <w:t>前項之收費項目、基準及其他應遵行事項之辦法，由中央主管機關定之。</w:t>
      </w:r>
      <w:r w:rsidRPr="002B23FF">
        <w:rPr>
          <w:rFonts w:hAnsi="標楷體"/>
          <w:sz w:val="28"/>
          <w:szCs w:val="28"/>
        </w:rPr>
        <w:t xml:space="preserve"> </w:t>
      </w:r>
    </w:p>
    <w:p w:rsidR="002B23FF" w:rsidRPr="002B23FF" w:rsidRDefault="002B23FF" w:rsidP="002B23FF">
      <w:pPr>
        <w:pStyle w:val="Default"/>
        <w:rPr>
          <w:rFonts w:hAnsi="標楷體"/>
          <w:sz w:val="28"/>
          <w:szCs w:val="28"/>
        </w:rPr>
      </w:pPr>
      <w:r w:rsidRPr="002B23FF">
        <w:rPr>
          <w:rFonts w:hAnsi="標楷體" w:hint="eastAsia"/>
          <w:sz w:val="28"/>
          <w:szCs w:val="28"/>
        </w:rPr>
        <w:t>第十六條</w:t>
      </w:r>
      <w:r w:rsidRPr="002B23FF">
        <w:rPr>
          <w:rFonts w:hAnsi="標楷體"/>
          <w:sz w:val="28"/>
          <w:szCs w:val="28"/>
        </w:rPr>
        <w:t xml:space="preserve"> </w:t>
      </w:r>
      <w:r w:rsidRPr="002B23FF">
        <w:rPr>
          <w:rFonts w:hAnsi="標楷體" w:hint="eastAsia"/>
          <w:sz w:val="28"/>
          <w:szCs w:val="28"/>
        </w:rPr>
        <w:t>父母或監護人因故無法對其兒童及少年盡扶養義務而擬</w:t>
      </w:r>
      <w:proofErr w:type="gramStart"/>
      <w:r w:rsidRPr="002B23FF">
        <w:rPr>
          <w:rFonts w:hAnsi="標楷體" w:hint="eastAsia"/>
          <w:sz w:val="28"/>
          <w:szCs w:val="28"/>
        </w:rPr>
        <w:t>予出養時</w:t>
      </w:r>
      <w:proofErr w:type="gramEnd"/>
      <w:r w:rsidRPr="002B23FF">
        <w:rPr>
          <w:rFonts w:hAnsi="標楷體" w:hint="eastAsia"/>
          <w:sz w:val="28"/>
          <w:szCs w:val="28"/>
        </w:rPr>
        <w:t>，應委託收</w:t>
      </w:r>
      <w:proofErr w:type="gramStart"/>
      <w:r w:rsidRPr="002B23FF">
        <w:rPr>
          <w:rFonts w:hAnsi="標楷體" w:hint="eastAsia"/>
          <w:sz w:val="28"/>
          <w:szCs w:val="28"/>
        </w:rPr>
        <w:t>出養媒合</w:t>
      </w:r>
      <w:proofErr w:type="gramEnd"/>
      <w:r w:rsidRPr="002B23FF">
        <w:rPr>
          <w:rFonts w:hAnsi="標楷體" w:hint="eastAsia"/>
          <w:sz w:val="28"/>
          <w:szCs w:val="28"/>
        </w:rPr>
        <w:t>服務者代覓適當之收養人。但下列情形之出養，不在此限：</w:t>
      </w:r>
      <w:r w:rsidRPr="002B23FF">
        <w:rPr>
          <w:rFonts w:hAnsi="標楷體"/>
          <w:sz w:val="28"/>
          <w:szCs w:val="28"/>
        </w:rPr>
        <w:t xml:space="preserve"> </w:t>
      </w:r>
    </w:p>
    <w:p w:rsidR="002B23FF" w:rsidRPr="002B23FF" w:rsidRDefault="002B23FF" w:rsidP="002B23FF">
      <w:pPr>
        <w:pStyle w:val="Default"/>
        <w:rPr>
          <w:rFonts w:hAnsi="標楷體"/>
          <w:sz w:val="28"/>
          <w:szCs w:val="28"/>
        </w:rPr>
      </w:pPr>
      <w:r w:rsidRPr="002B23FF">
        <w:rPr>
          <w:rFonts w:hAnsi="標楷體" w:hint="eastAsia"/>
          <w:sz w:val="28"/>
          <w:szCs w:val="28"/>
        </w:rPr>
        <w:t>一、旁系血親在六親等以內及旁系姻親在五親等</w:t>
      </w:r>
      <w:proofErr w:type="gramStart"/>
      <w:r w:rsidRPr="002B23FF">
        <w:rPr>
          <w:rFonts w:hAnsi="標楷體" w:hint="eastAsia"/>
          <w:sz w:val="28"/>
          <w:szCs w:val="28"/>
        </w:rPr>
        <w:t>以內，</w:t>
      </w:r>
      <w:proofErr w:type="gramEnd"/>
      <w:r w:rsidRPr="002B23FF">
        <w:rPr>
          <w:rFonts w:hAnsi="標楷體" w:hint="eastAsia"/>
          <w:sz w:val="28"/>
          <w:szCs w:val="28"/>
        </w:rPr>
        <w:t>輩分相當。</w:t>
      </w:r>
      <w:r w:rsidRPr="002B23FF">
        <w:rPr>
          <w:rFonts w:hAnsi="標楷體"/>
          <w:sz w:val="28"/>
          <w:szCs w:val="28"/>
        </w:rPr>
        <w:t xml:space="preserve"> </w:t>
      </w:r>
    </w:p>
    <w:p w:rsidR="002B23FF" w:rsidRPr="002B23FF" w:rsidRDefault="002B23FF" w:rsidP="002B23FF">
      <w:pPr>
        <w:pStyle w:val="Default"/>
        <w:rPr>
          <w:rFonts w:hAnsi="標楷體"/>
          <w:sz w:val="28"/>
          <w:szCs w:val="28"/>
        </w:rPr>
      </w:pPr>
      <w:r w:rsidRPr="002B23FF">
        <w:rPr>
          <w:rFonts w:hAnsi="標楷體" w:hint="eastAsia"/>
          <w:sz w:val="28"/>
          <w:szCs w:val="28"/>
        </w:rPr>
        <w:t>二、夫妻之一方收養他方子女。</w:t>
      </w:r>
      <w:r w:rsidRPr="002B23FF">
        <w:rPr>
          <w:rFonts w:hAnsi="標楷體"/>
          <w:sz w:val="28"/>
          <w:szCs w:val="28"/>
        </w:rPr>
        <w:t xml:space="preserve"> </w:t>
      </w:r>
    </w:p>
    <w:p w:rsidR="002B23FF" w:rsidRPr="002B23FF" w:rsidRDefault="002B23FF" w:rsidP="002B23FF">
      <w:pPr>
        <w:pStyle w:val="Default"/>
        <w:rPr>
          <w:rFonts w:hAnsi="標楷體"/>
          <w:sz w:val="28"/>
          <w:szCs w:val="28"/>
        </w:rPr>
      </w:pPr>
      <w:r w:rsidRPr="002B23FF">
        <w:rPr>
          <w:rFonts w:hAnsi="標楷體" w:hint="eastAsia"/>
          <w:sz w:val="28"/>
          <w:szCs w:val="28"/>
        </w:rPr>
        <w:t>前項收</w:t>
      </w:r>
      <w:proofErr w:type="gramStart"/>
      <w:r w:rsidRPr="002B23FF">
        <w:rPr>
          <w:rFonts w:hAnsi="標楷體" w:hint="eastAsia"/>
          <w:sz w:val="28"/>
          <w:szCs w:val="28"/>
        </w:rPr>
        <w:t>出養媒合</w:t>
      </w:r>
      <w:proofErr w:type="gramEnd"/>
      <w:r w:rsidRPr="002B23FF">
        <w:rPr>
          <w:rFonts w:hAnsi="標楷體" w:hint="eastAsia"/>
          <w:sz w:val="28"/>
          <w:szCs w:val="28"/>
        </w:rPr>
        <w:t>服務者於接受委託後，應先為出養必要性之訪視調查，並作成評估報告；評估有出養必要者，應即進行收養人之評估，並提供適當之輔導及協助等收出養服務相關措施；經評估不宜出養者，應即提供或轉</w:t>
      </w:r>
      <w:proofErr w:type="gramStart"/>
      <w:r w:rsidRPr="002B23FF">
        <w:rPr>
          <w:rFonts w:hAnsi="標楷體" w:hint="eastAsia"/>
          <w:sz w:val="28"/>
          <w:szCs w:val="28"/>
        </w:rPr>
        <w:t>介</w:t>
      </w:r>
      <w:proofErr w:type="gramEnd"/>
      <w:r w:rsidRPr="002B23FF">
        <w:rPr>
          <w:rFonts w:hAnsi="標楷體" w:hint="eastAsia"/>
          <w:sz w:val="28"/>
          <w:szCs w:val="28"/>
        </w:rPr>
        <w:t>相關福利服務。</w:t>
      </w:r>
      <w:r w:rsidRPr="002B23FF">
        <w:rPr>
          <w:rFonts w:hAnsi="標楷體"/>
          <w:sz w:val="28"/>
          <w:szCs w:val="28"/>
        </w:rPr>
        <w:t xml:space="preserve"> </w:t>
      </w:r>
    </w:p>
    <w:p w:rsidR="002B23FF" w:rsidRPr="002B23FF" w:rsidRDefault="002B23FF" w:rsidP="002B23FF">
      <w:pPr>
        <w:pStyle w:val="Default"/>
        <w:rPr>
          <w:rFonts w:hAnsi="標楷體"/>
          <w:sz w:val="28"/>
          <w:szCs w:val="28"/>
        </w:rPr>
      </w:pPr>
      <w:proofErr w:type="gramStart"/>
      <w:r w:rsidRPr="002B23FF">
        <w:rPr>
          <w:rFonts w:hAnsi="標楷體" w:hint="eastAsia"/>
          <w:sz w:val="28"/>
          <w:szCs w:val="28"/>
        </w:rPr>
        <w:lastRenderedPageBreak/>
        <w:t>第一項出養</w:t>
      </w:r>
      <w:proofErr w:type="gramEnd"/>
      <w:r w:rsidRPr="002B23FF">
        <w:rPr>
          <w:rFonts w:hAnsi="標楷體" w:hint="eastAsia"/>
          <w:sz w:val="28"/>
          <w:szCs w:val="28"/>
        </w:rPr>
        <w:t>，以國內收養人優先收養為原則。</w:t>
      </w:r>
      <w:r w:rsidRPr="002B23FF">
        <w:rPr>
          <w:rFonts w:hAnsi="標楷體"/>
          <w:sz w:val="28"/>
          <w:szCs w:val="28"/>
        </w:rPr>
        <w:t xml:space="preserve"> </w:t>
      </w:r>
    </w:p>
    <w:p w:rsidR="002B23FF" w:rsidRPr="002B23FF" w:rsidRDefault="002B23FF" w:rsidP="002B23FF">
      <w:pPr>
        <w:pStyle w:val="Default"/>
        <w:rPr>
          <w:rFonts w:hAnsi="標楷體"/>
          <w:sz w:val="28"/>
          <w:szCs w:val="28"/>
        </w:rPr>
      </w:pPr>
      <w:r w:rsidRPr="002B23FF">
        <w:rPr>
          <w:rFonts w:hAnsi="標楷體" w:hint="eastAsia"/>
          <w:sz w:val="28"/>
          <w:szCs w:val="28"/>
        </w:rPr>
        <w:t>第十七條</w:t>
      </w:r>
      <w:r w:rsidRPr="002B23FF">
        <w:rPr>
          <w:rFonts w:hAnsi="標楷體"/>
          <w:sz w:val="28"/>
          <w:szCs w:val="28"/>
        </w:rPr>
        <w:t xml:space="preserve"> </w:t>
      </w:r>
      <w:r w:rsidRPr="002B23FF">
        <w:rPr>
          <w:rFonts w:hAnsi="標楷體" w:hint="eastAsia"/>
          <w:sz w:val="28"/>
          <w:szCs w:val="28"/>
        </w:rPr>
        <w:t>聲請法院認可兒童及少年之收養，除有前條第一項但書規定情形者外，應檢附前條第二項之收出養評估報告。未</w:t>
      </w:r>
      <w:proofErr w:type="gramStart"/>
      <w:r w:rsidRPr="002B23FF">
        <w:rPr>
          <w:rFonts w:hAnsi="標楷體" w:hint="eastAsia"/>
          <w:sz w:val="28"/>
          <w:szCs w:val="28"/>
        </w:rPr>
        <w:t>檢附者</w:t>
      </w:r>
      <w:proofErr w:type="gramEnd"/>
      <w:r w:rsidRPr="002B23FF">
        <w:rPr>
          <w:rFonts w:hAnsi="標楷體" w:hint="eastAsia"/>
          <w:sz w:val="28"/>
          <w:szCs w:val="28"/>
        </w:rPr>
        <w:t>，法院應定</w:t>
      </w:r>
      <w:proofErr w:type="gramStart"/>
      <w:r w:rsidRPr="002B23FF">
        <w:rPr>
          <w:rFonts w:hAnsi="標楷體" w:hint="eastAsia"/>
          <w:sz w:val="28"/>
          <w:szCs w:val="28"/>
        </w:rPr>
        <w:t>期間命</w:t>
      </w:r>
      <w:proofErr w:type="gramEnd"/>
      <w:r w:rsidRPr="002B23FF">
        <w:rPr>
          <w:rFonts w:hAnsi="標楷體" w:hint="eastAsia"/>
          <w:sz w:val="28"/>
          <w:szCs w:val="28"/>
        </w:rPr>
        <w:t>其補正；逾期</w:t>
      </w:r>
      <w:proofErr w:type="gramStart"/>
      <w:r w:rsidRPr="002B23FF">
        <w:rPr>
          <w:rFonts w:hAnsi="標楷體" w:hint="eastAsia"/>
          <w:sz w:val="28"/>
          <w:szCs w:val="28"/>
        </w:rPr>
        <w:t>不</w:t>
      </w:r>
      <w:proofErr w:type="gramEnd"/>
      <w:r w:rsidRPr="002B23FF">
        <w:rPr>
          <w:rFonts w:hAnsi="標楷體" w:hint="eastAsia"/>
          <w:sz w:val="28"/>
          <w:szCs w:val="28"/>
        </w:rPr>
        <w:t>補正者，應不予受理。</w:t>
      </w:r>
      <w:r w:rsidRPr="002B23FF">
        <w:rPr>
          <w:rFonts w:hAnsi="標楷體"/>
          <w:sz w:val="28"/>
          <w:szCs w:val="28"/>
        </w:rPr>
        <w:t xml:space="preserve"> </w:t>
      </w:r>
    </w:p>
    <w:p w:rsidR="002B23FF" w:rsidRPr="002B23FF" w:rsidRDefault="002B23FF" w:rsidP="002B23FF">
      <w:pPr>
        <w:pStyle w:val="Default"/>
        <w:rPr>
          <w:rFonts w:hAnsi="標楷體"/>
          <w:sz w:val="28"/>
          <w:szCs w:val="28"/>
        </w:rPr>
      </w:pPr>
      <w:r w:rsidRPr="002B23FF">
        <w:rPr>
          <w:rFonts w:hAnsi="標楷體" w:hint="eastAsia"/>
          <w:sz w:val="28"/>
          <w:szCs w:val="28"/>
        </w:rPr>
        <w:t>法院認可兒童及少年之收養前，得</w:t>
      </w:r>
      <w:proofErr w:type="gramStart"/>
      <w:r w:rsidRPr="002B23FF">
        <w:rPr>
          <w:rFonts w:hAnsi="標楷體" w:hint="eastAsia"/>
          <w:sz w:val="28"/>
          <w:szCs w:val="28"/>
        </w:rPr>
        <w:t>採</w:t>
      </w:r>
      <w:proofErr w:type="gramEnd"/>
      <w:r w:rsidRPr="002B23FF">
        <w:rPr>
          <w:rFonts w:hAnsi="標楷體" w:hint="eastAsia"/>
          <w:sz w:val="28"/>
          <w:szCs w:val="28"/>
        </w:rPr>
        <w:t>行下列措施，供決定認可之參考：</w:t>
      </w:r>
      <w:r w:rsidRPr="002B23FF">
        <w:rPr>
          <w:rFonts w:hAnsi="標楷體"/>
          <w:sz w:val="28"/>
          <w:szCs w:val="28"/>
        </w:rPr>
        <w:t xml:space="preserve"> </w:t>
      </w:r>
    </w:p>
    <w:p w:rsidR="002B23FF" w:rsidRPr="002B23FF" w:rsidRDefault="002B23FF" w:rsidP="002B23FF">
      <w:pPr>
        <w:pStyle w:val="Default"/>
        <w:rPr>
          <w:rFonts w:hAnsi="標楷體"/>
          <w:sz w:val="28"/>
          <w:szCs w:val="28"/>
        </w:rPr>
      </w:pPr>
      <w:r w:rsidRPr="002B23FF">
        <w:rPr>
          <w:rFonts w:hAnsi="標楷體" w:hint="eastAsia"/>
          <w:sz w:val="28"/>
          <w:szCs w:val="28"/>
        </w:rPr>
        <w:t>一、命直轄市、縣（市）主管機關、兒童及少年福利機構、其他適當之團體或專業人員進行訪視，提出訪視報告及建議。</w:t>
      </w:r>
      <w:r w:rsidRPr="002B23FF">
        <w:rPr>
          <w:rFonts w:hAnsi="標楷體"/>
          <w:sz w:val="28"/>
          <w:szCs w:val="28"/>
        </w:rPr>
        <w:t xml:space="preserve"> </w:t>
      </w:r>
    </w:p>
    <w:p w:rsidR="002B23FF" w:rsidRPr="002B23FF" w:rsidRDefault="002B23FF" w:rsidP="002B23FF">
      <w:pPr>
        <w:pStyle w:val="Default"/>
        <w:rPr>
          <w:rFonts w:hAnsi="標楷體"/>
          <w:sz w:val="28"/>
          <w:szCs w:val="28"/>
        </w:rPr>
      </w:pPr>
      <w:r w:rsidRPr="002B23FF">
        <w:rPr>
          <w:rFonts w:hAnsi="標楷體" w:hint="eastAsia"/>
          <w:sz w:val="28"/>
          <w:szCs w:val="28"/>
        </w:rPr>
        <w:t>二、命收養人與兒童及少年先行共同生活一段期間；共同生活</w:t>
      </w:r>
      <w:proofErr w:type="gramStart"/>
      <w:r w:rsidRPr="002B23FF">
        <w:rPr>
          <w:rFonts w:hAnsi="標楷體" w:hint="eastAsia"/>
          <w:sz w:val="28"/>
          <w:szCs w:val="28"/>
        </w:rPr>
        <w:t>期間，</w:t>
      </w:r>
      <w:proofErr w:type="gramEnd"/>
      <w:r w:rsidRPr="002B23FF">
        <w:rPr>
          <w:rFonts w:hAnsi="標楷體" w:hint="eastAsia"/>
          <w:sz w:val="28"/>
          <w:szCs w:val="28"/>
        </w:rPr>
        <w:t>對於兒童及少年權利義務之行使或負擔，由收養人為之。</w:t>
      </w:r>
      <w:r w:rsidRPr="002B23FF">
        <w:rPr>
          <w:rFonts w:hAnsi="標楷體"/>
          <w:sz w:val="28"/>
          <w:szCs w:val="28"/>
        </w:rPr>
        <w:t xml:space="preserve"> </w:t>
      </w:r>
    </w:p>
    <w:p w:rsidR="002B23FF" w:rsidRPr="002B23FF" w:rsidRDefault="002B23FF" w:rsidP="002B23FF">
      <w:pPr>
        <w:pStyle w:val="Default"/>
        <w:rPr>
          <w:rFonts w:hAnsi="標楷體"/>
          <w:sz w:val="28"/>
          <w:szCs w:val="28"/>
        </w:rPr>
      </w:pPr>
      <w:r w:rsidRPr="002B23FF">
        <w:rPr>
          <w:rFonts w:hAnsi="標楷體" w:hint="eastAsia"/>
          <w:sz w:val="28"/>
          <w:szCs w:val="28"/>
        </w:rPr>
        <w:t>三、命收養人接受親職準備教育課程、精神鑑定、藥、酒癮檢測或其他維護兒童及少年最佳利益之必要事項；其費用，由收養人自行負擔。</w:t>
      </w:r>
      <w:r w:rsidRPr="002B23FF">
        <w:rPr>
          <w:rFonts w:hAnsi="標楷體"/>
          <w:sz w:val="28"/>
          <w:szCs w:val="28"/>
        </w:rPr>
        <w:t xml:space="preserve"> </w:t>
      </w:r>
    </w:p>
    <w:p w:rsidR="002B23FF" w:rsidRPr="002B23FF" w:rsidRDefault="002B23FF" w:rsidP="002B23FF">
      <w:pPr>
        <w:pStyle w:val="Default"/>
        <w:rPr>
          <w:rFonts w:hAnsi="標楷體"/>
          <w:sz w:val="28"/>
          <w:szCs w:val="28"/>
        </w:rPr>
      </w:pPr>
      <w:r w:rsidRPr="002B23FF">
        <w:rPr>
          <w:rFonts w:hAnsi="標楷體" w:hint="eastAsia"/>
          <w:sz w:val="28"/>
          <w:szCs w:val="28"/>
        </w:rPr>
        <w:t>四、命直轄市、縣（市）主管機關調查被遺棄兒童及少年身分資料。</w:t>
      </w:r>
      <w:r w:rsidRPr="002B23FF">
        <w:rPr>
          <w:rFonts w:hAnsi="標楷體"/>
          <w:sz w:val="28"/>
          <w:szCs w:val="28"/>
        </w:rPr>
        <w:t xml:space="preserve"> </w:t>
      </w:r>
    </w:p>
    <w:p w:rsidR="002B23FF" w:rsidRPr="002B23FF" w:rsidRDefault="002B23FF" w:rsidP="002B23FF">
      <w:pPr>
        <w:pStyle w:val="Default"/>
        <w:rPr>
          <w:rFonts w:hAnsi="標楷體"/>
          <w:sz w:val="28"/>
          <w:szCs w:val="28"/>
        </w:rPr>
      </w:pPr>
      <w:r w:rsidRPr="002B23FF">
        <w:rPr>
          <w:rFonts w:hAnsi="標楷體" w:hint="eastAsia"/>
          <w:sz w:val="28"/>
          <w:szCs w:val="28"/>
        </w:rPr>
        <w:t>依前項第一款規定進行</w:t>
      </w:r>
      <w:proofErr w:type="gramStart"/>
      <w:r w:rsidRPr="002B23FF">
        <w:rPr>
          <w:rFonts w:hAnsi="標楷體" w:hint="eastAsia"/>
          <w:sz w:val="28"/>
          <w:szCs w:val="28"/>
        </w:rPr>
        <w:t>訪視者</w:t>
      </w:r>
      <w:proofErr w:type="gramEnd"/>
      <w:r w:rsidRPr="002B23FF">
        <w:rPr>
          <w:rFonts w:hAnsi="標楷體" w:hint="eastAsia"/>
          <w:sz w:val="28"/>
          <w:szCs w:val="28"/>
        </w:rPr>
        <w:t>，應評估出養之必要性，並給予必要之協助；其無出養之必要者，應建議法院不為收養之認可。</w:t>
      </w:r>
      <w:r w:rsidRPr="002B23FF">
        <w:rPr>
          <w:rFonts w:hAnsi="標楷體"/>
          <w:sz w:val="28"/>
          <w:szCs w:val="28"/>
        </w:rPr>
        <w:t xml:space="preserve"> </w:t>
      </w:r>
    </w:p>
    <w:p w:rsidR="002B23FF" w:rsidRPr="002B23FF" w:rsidRDefault="002B23FF" w:rsidP="002B23FF">
      <w:pPr>
        <w:pStyle w:val="Default"/>
        <w:rPr>
          <w:rFonts w:hAnsi="標楷體"/>
          <w:sz w:val="28"/>
          <w:szCs w:val="28"/>
        </w:rPr>
      </w:pPr>
      <w:r w:rsidRPr="002B23FF">
        <w:rPr>
          <w:rFonts w:hAnsi="標楷體" w:hint="eastAsia"/>
          <w:sz w:val="28"/>
          <w:szCs w:val="28"/>
        </w:rPr>
        <w:t>收養人或收養事件之利害關係人亦得提出相關資料或證據，供法院斟酌。</w:t>
      </w:r>
      <w:r w:rsidRPr="002B23FF">
        <w:rPr>
          <w:rFonts w:hAnsi="標楷體"/>
          <w:sz w:val="28"/>
          <w:szCs w:val="28"/>
        </w:rPr>
        <w:t xml:space="preserve"> </w:t>
      </w:r>
    </w:p>
    <w:p w:rsidR="002B23FF" w:rsidRPr="002B23FF" w:rsidRDefault="002B23FF" w:rsidP="002B23FF">
      <w:pPr>
        <w:pStyle w:val="Default"/>
        <w:rPr>
          <w:rFonts w:hAnsi="標楷體"/>
          <w:sz w:val="28"/>
          <w:szCs w:val="28"/>
        </w:rPr>
      </w:pPr>
      <w:r w:rsidRPr="002B23FF">
        <w:rPr>
          <w:rFonts w:hAnsi="標楷體" w:hint="eastAsia"/>
          <w:sz w:val="28"/>
          <w:szCs w:val="28"/>
        </w:rPr>
        <w:t>第十八條</w:t>
      </w:r>
      <w:r w:rsidRPr="002B23FF">
        <w:rPr>
          <w:rFonts w:hAnsi="標楷體"/>
          <w:sz w:val="28"/>
          <w:szCs w:val="28"/>
        </w:rPr>
        <w:t xml:space="preserve"> </w:t>
      </w:r>
      <w:r w:rsidRPr="002B23FF">
        <w:rPr>
          <w:rFonts w:hAnsi="標楷體" w:hint="eastAsia"/>
          <w:sz w:val="28"/>
          <w:szCs w:val="28"/>
        </w:rPr>
        <w:t>父母對於兒童及少年出養之意見不一致，或一方所在不明</w:t>
      </w:r>
      <w:r w:rsidRPr="002B23FF">
        <w:rPr>
          <w:rFonts w:hAnsi="標楷體" w:hint="eastAsia"/>
          <w:sz w:val="28"/>
          <w:szCs w:val="28"/>
        </w:rPr>
        <w:lastRenderedPageBreak/>
        <w:t>時，父母之一方仍可向法院聲請認可。經法院調查認為收養乃符合兒童及少年之最佳利益時，應予認可。</w:t>
      </w:r>
      <w:r w:rsidRPr="002B23FF">
        <w:rPr>
          <w:rFonts w:hAnsi="標楷體"/>
          <w:sz w:val="28"/>
          <w:szCs w:val="28"/>
        </w:rPr>
        <w:t xml:space="preserve"> </w:t>
      </w:r>
    </w:p>
    <w:p w:rsidR="002B23FF" w:rsidRPr="002B23FF" w:rsidRDefault="002B23FF" w:rsidP="002B23FF">
      <w:pPr>
        <w:pStyle w:val="Default"/>
        <w:rPr>
          <w:rFonts w:hAnsi="標楷體"/>
          <w:sz w:val="28"/>
          <w:szCs w:val="28"/>
        </w:rPr>
      </w:pPr>
      <w:r w:rsidRPr="002B23FF">
        <w:rPr>
          <w:rFonts w:hAnsi="標楷體" w:hint="eastAsia"/>
          <w:sz w:val="28"/>
          <w:szCs w:val="28"/>
        </w:rPr>
        <w:t>法院認可或駁回兒童及少年收養之</w:t>
      </w:r>
      <w:proofErr w:type="gramStart"/>
      <w:r w:rsidRPr="002B23FF">
        <w:rPr>
          <w:rFonts w:hAnsi="標楷體" w:hint="eastAsia"/>
          <w:sz w:val="28"/>
          <w:szCs w:val="28"/>
        </w:rPr>
        <w:t>聲請時</w:t>
      </w:r>
      <w:proofErr w:type="gramEnd"/>
      <w:r w:rsidRPr="002B23FF">
        <w:rPr>
          <w:rFonts w:hAnsi="標楷體" w:hint="eastAsia"/>
          <w:sz w:val="28"/>
          <w:szCs w:val="28"/>
        </w:rPr>
        <w:t>，應以書面通知直轄市、縣（市）主管機關，直轄市、縣（市）主管機關應為必要之訪視或其他處置，並作成紀錄。</w:t>
      </w:r>
      <w:r w:rsidRPr="002B23FF">
        <w:rPr>
          <w:rFonts w:hAnsi="標楷體"/>
          <w:sz w:val="28"/>
          <w:szCs w:val="28"/>
        </w:rPr>
        <w:t xml:space="preserve"> </w:t>
      </w:r>
    </w:p>
    <w:p w:rsidR="002B23FF" w:rsidRPr="002B23FF" w:rsidRDefault="002B23FF" w:rsidP="002B23FF">
      <w:pPr>
        <w:pStyle w:val="Default"/>
        <w:pageBreakBefore/>
        <w:rPr>
          <w:rFonts w:hAnsi="標楷體"/>
          <w:sz w:val="28"/>
          <w:szCs w:val="28"/>
        </w:rPr>
      </w:pPr>
      <w:r w:rsidRPr="002B23FF">
        <w:rPr>
          <w:rFonts w:hAnsi="標楷體" w:hint="eastAsia"/>
          <w:sz w:val="28"/>
          <w:szCs w:val="28"/>
        </w:rPr>
        <w:lastRenderedPageBreak/>
        <w:t>第十九條</w:t>
      </w:r>
      <w:r w:rsidRPr="002B23FF">
        <w:rPr>
          <w:rFonts w:hAnsi="標楷體"/>
          <w:sz w:val="28"/>
          <w:szCs w:val="28"/>
        </w:rPr>
        <w:t xml:space="preserve"> </w:t>
      </w:r>
      <w:r w:rsidRPr="002B23FF">
        <w:rPr>
          <w:rFonts w:hAnsi="標楷體" w:hint="eastAsia"/>
          <w:sz w:val="28"/>
          <w:szCs w:val="28"/>
        </w:rPr>
        <w:t>收養兒童及少年經法院認可者，收養關係</w:t>
      </w:r>
      <w:proofErr w:type="gramStart"/>
      <w:r w:rsidRPr="002B23FF">
        <w:rPr>
          <w:rFonts w:hAnsi="標楷體" w:hint="eastAsia"/>
          <w:sz w:val="28"/>
          <w:szCs w:val="28"/>
        </w:rPr>
        <w:t>溯</w:t>
      </w:r>
      <w:proofErr w:type="gramEnd"/>
      <w:r w:rsidRPr="002B23FF">
        <w:rPr>
          <w:rFonts w:hAnsi="標楷體" w:hint="eastAsia"/>
          <w:sz w:val="28"/>
          <w:szCs w:val="28"/>
        </w:rPr>
        <w:t>及於收養書面契約成立時發生效力；無書面契約者，以向法院</w:t>
      </w:r>
      <w:proofErr w:type="gramStart"/>
      <w:r w:rsidRPr="002B23FF">
        <w:rPr>
          <w:rFonts w:hAnsi="標楷體" w:hint="eastAsia"/>
          <w:sz w:val="28"/>
          <w:szCs w:val="28"/>
        </w:rPr>
        <w:t>聲請時為</w:t>
      </w:r>
      <w:proofErr w:type="gramEnd"/>
      <w:r w:rsidRPr="002B23FF">
        <w:rPr>
          <w:rFonts w:hAnsi="標楷體" w:hint="eastAsia"/>
          <w:sz w:val="28"/>
          <w:szCs w:val="28"/>
        </w:rPr>
        <w:t>收養關係成立之時；有試行收養之情形者，收養關係</w:t>
      </w:r>
      <w:proofErr w:type="gramStart"/>
      <w:r w:rsidRPr="002B23FF">
        <w:rPr>
          <w:rFonts w:hAnsi="標楷體" w:hint="eastAsia"/>
          <w:sz w:val="28"/>
          <w:szCs w:val="28"/>
        </w:rPr>
        <w:t>溯</w:t>
      </w:r>
      <w:proofErr w:type="gramEnd"/>
      <w:r w:rsidRPr="002B23FF">
        <w:rPr>
          <w:rFonts w:hAnsi="標楷體" w:hint="eastAsia"/>
          <w:sz w:val="28"/>
          <w:szCs w:val="28"/>
        </w:rPr>
        <w:t>及於開始共同生活時發生效力。</w:t>
      </w:r>
      <w:r w:rsidRPr="002B23FF">
        <w:rPr>
          <w:rFonts w:hAnsi="標楷體"/>
          <w:sz w:val="28"/>
          <w:szCs w:val="28"/>
        </w:rPr>
        <w:t xml:space="preserve"> </w:t>
      </w:r>
    </w:p>
    <w:p w:rsidR="002B23FF" w:rsidRPr="002B23FF" w:rsidRDefault="002B23FF" w:rsidP="002B23FF">
      <w:pPr>
        <w:pStyle w:val="Default"/>
        <w:rPr>
          <w:rFonts w:hAnsi="標楷體"/>
          <w:sz w:val="28"/>
          <w:szCs w:val="28"/>
        </w:rPr>
      </w:pPr>
      <w:r w:rsidRPr="002B23FF">
        <w:rPr>
          <w:rFonts w:hAnsi="標楷體" w:hint="eastAsia"/>
          <w:sz w:val="28"/>
          <w:szCs w:val="28"/>
        </w:rPr>
        <w:t>聲請認可收養後，法院裁定前，兒童及少年死亡者，聲請程序終結。收養人死亡者，</w:t>
      </w:r>
      <w:proofErr w:type="gramStart"/>
      <w:r w:rsidRPr="002B23FF">
        <w:rPr>
          <w:rFonts w:hAnsi="標楷體" w:hint="eastAsia"/>
          <w:sz w:val="28"/>
          <w:szCs w:val="28"/>
        </w:rPr>
        <w:t>法院應命直轄市</w:t>
      </w:r>
      <w:proofErr w:type="gramEnd"/>
      <w:r w:rsidRPr="002B23FF">
        <w:rPr>
          <w:rFonts w:hAnsi="標楷體" w:hint="eastAsia"/>
          <w:sz w:val="28"/>
          <w:szCs w:val="28"/>
        </w:rPr>
        <w:t>、縣（市）主管機關、兒童及少年福利機構、其他適當之團體或專業人員為評估，並提出報告及建議，法院認收養於兒童及少年有利益時，仍得為認可收養之裁定，其效力依前項之規定。</w:t>
      </w:r>
      <w:r w:rsidRPr="002B23FF">
        <w:rPr>
          <w:rFonts w:hAnsi="標楷體"/>
          <w:sz w:val="28"/>
          <w:szCs w:val="28"/>
        </w:rPr>
        <w:t xml:space="preserve"> </w:t>
      </w:r>
    </w:p>
    <w:p w:rsidR="002B23FF" w:rsidRPr="002B23FF" w:rsidRDefault="002B23FF" w:rsidP="002B23FF">
      <w:pPr>
        <w:pStyle w:val="Default"/>
        <w:rPr>
          <w:rFonts w:hAnsi="標楷體"/>
          <w:sz w:val="28"/>
          <w:szCs w:val="28"/>
        </w:rPr>
      </w:pPr>
      <w:r w:rsidRPr="002B23FF">
        <w:rPr>
          <w:rFonts w:hAnsi="標楷體" w:hint="eastAsia"/>
          <w:sz w:val="28"/>
          <w:szCs w:val="28"/>
        </w:rPr>
        <w:t>第二十條</w:t>
      </w:r>
      <w:r w:rsidRPr="002B23FF">
        <w:rPr>
          <w:rFonts w:hAnsi="標楷體"/>
          <w:sz w:val="28"/>
          <w:szCs w:val="28"/>
        </w:rPr>
        <w:t xml:space="preserve"> </w:t>
      </w:r>
      <w:r w:rsidRPr="002B23FF">
        <w:rPr>
          <w:rFonts w:hAnsi="標楷體" w:hint="eastAsia"/>
          <w:sz w:val="28"/>
          <w:szCs w:val="28"/>
        </w:rPr>
        <w:t>養父母對養子女有下列行為之</w:t>
      </w:r>
      <w:proofErr w:type="gramStart"/>
      <w:r w:rsidRPr="002B23FF">
        <w:rPr>
          <w:rFonts w:hAnsi="標楷體" w:hint="eastAsia"/>
          <w:sz w:val="28"/>
          <w:szCs w:val="28"/>
        </w:rPr>
        <w:t>一</w:t>
      </w:r>
      <w:proofErr w:type="gramEnd"/>
      <w:r w:rsidRPr="002B23FF">
        <w:rPr>
          <w:rFonts w:hAnsi="標楷體" w:hint="eastAsia"/>
          <w:sz w:val="28"/>
          <w:szCs w:val="28"/>
        </w:rPr>
        <w:t>者，養子女、利害關係人或主管機關得向法院請求宣告終止其收養關係：</w:t>
      </w:r>
      <w:r w:rsidRPr="002B23FF">
        <w:rPr>
          <w:rFonts w:hAnsi="標楷體"/>
          <w:sz w:val="28"/>
          <w:szCs w:val="28"/>
        </w:rPr>
        <w:t xml:space="preserve"> </w:t>
      </w:r>
    </w:p>
    <w:p w:rsidR="002B23FF" w:rsidRPr="002B23FF" w:rsidRDefault="002B23FF" w:rsidP="002B23FF">
      <w:pPr>
        <w:pStyle w:val="Default"/>
        <w:rPr>
          <w:rFonts w:hAnsi="標楷體"/>
          <w:sz w:val="28"/>
          <w:szCs w:val="28"/>
        </w:rPr>
      </w:pPr>
      <w:r w:rsidRPr="002B23FF">
        <w:rPr>
          <w:rFonts w:hAnsi="標楷體" w:hint="eastAsia"/>
          <w:sz w:val="28"/>
          <w:szCs w:val="28"/>
        </w:rPr>
        <w:t>一、有第四十九條各款所定行為之</w:t>
      </w:r>
      <w:proofErr w:type="gramStart"/>
      <w:r w:rsidRPr="002B23FF">
        <w:rPr>
          <w:rFonts w:hAnsi="標楷體" w:hint="eastAsia"/>
          <w:sz w:val="28"/>
          <w:szCs w:val="28"/>
        </w:rPr>
        <w:t>一</w:t>
      </w:r>
      <w:proofErr w:type="gramEnd"/>
      <w:r w:rsidRPr="002B23FF">
        <w:rPr>
          <w:rFonts w:hAnsi="標楷體" w:hint="eastAsia"/>
          <w:sz w:val="28"/>
          <w:szCs w:val="28"/>
        </w:rPr>
        <w:t>。</w:t>
      </w:r>
      <w:r w:rsidRPr="002B23FF">
        <w:rPr>
          <w:rFonts w:hAnsi="標楷體"/>
          <w:sz w:val="28"/>
          <w:szCs w:val="28"/>
        </w:rPr>
        <w:t xml:space="preserve"> </w:t>
      </w:r>
    </w:p>
    <w:p w:rsidR="002B23FF" w:rsidRPr="002B23FF" w:rsidRDefault="002B23FF" w:rsidP="002B23FF">
      <w:pPr>
        <w:pStyle w:val="Default"/>
        <w:rPr>
          <w:rFonts w:hAnsi="標楷體"/>
          <w:sz w:val="28"/>
          <w:szCs w:val="28"/>
        </w:rPr>
      </w:pPr>
      <w:r w:rsidRPr="002B23FF">
        <w:rPr>
          <w:rFonts w:hAnsi="標楷體" w:hint="eastAsia"/>
          <w:sz w:val="28"/>
          <w:szCs w:val="28"/>
        </w:rPr>
        <w:t>二、違反第四十三條第二項或第四十七條第二項規定，情節重大。</w:t>
      </w:r>
      <w:r w:rsidRPr="002B23FF">
        <w:rPr>
          <w:rFonts w:hAnsi="標楷體"/>
          <w:sz w:val="28"/>
          <w:szCs w:val="28"/>
        </w:rPr>
        <w:t xml:space="preserve"> </w:t>
      </w:r>
    </w:p>
    <w:p w:rsidR="002B23FF" w:rsidRPr="002B23FF" w:rsidRDefault="002B23FF" w:rsidP="002B23FF">
      <w:pPr>
        <w:pStyle w:val="Default"/>
        <w:rPr>
          <w:rFonts w:hAnsi="標楷體"/>
          <w:sz w:val="28"/>
          <w:szCs w:val="28"/>
        </w:rPr>
      </w:pPr>
      <w:r w:rsidRPr="002B23FF">
        <w:rPr>
          <w:rFonts w:hAnsi="標楷體" w:hint="eastAsia"/>
          <w:sz w:val="28"/>
          <w:szCs w:val="28"/>
        </w:rPr>
        <w:t>第二十一條</w:t>
      </w:r>
      <w:r w:rsidRPr="002B23FF">
        <w:rPr>
          <w:rFonts w:hAnsi="標楷體"/>
          <w:sz w:val="28"/>
          <w:szCs w:val="28"/>
        </w:rPr>
        <w:t xml:space="preserve"> </w:t>
      </w:r>
      <w:r w:rsidRPr="002B23FF">
        <w:rPr>
          <w:rFonts w:hAnsi="標楷體" w:hint="eastAsia"/>
          <w:sz w:val="28"/>
          <w:szCs w:val="28"/>
        </w:rPr>
        <w:t>中央主管機關應保存出養人、收養人及被收養兒童及少年之身分、健康等相關資訊之檔案。</w:t>
      </w:r>
      <w:r w:rsidRPr="002B23FF">
        <w:rPr>
          <w:rFonts w:hAnsi="標楷體"/>
          <w:sz w:val="28"/>
          <w:szCs w:val="28"/>
        </w:rPr>
        <w:t xml:space="preserve"> </w:t>
      </w:r>
    </w:p>
    <w:p w:rsidR="002B23FF" w:rsidRPr="002B23FF" w:rsidRDefault="002B23FF" w:rsidP="002B23FF">
      <w:pPr>
        <w:pStyle w:val="Default"/>
        <w:rPr>
          <w:rFonts w:hAnsi="標楷體"/>
          <w:sz w:val="28"/>
          <w:szCs w:val="28"/>
        </w:rPr>
      </w:pPr>
      <w:r w:rsidRPr="002B23FF">
        <w:rPr>
          <w:rFonts w:hAnsi="標楷體" w:hint="eastAsia"/>
          <w:sz w:val="28"/>
          <w:szCs w:val="28"/>
        </w:rPr>
        <w:t>收</w:t>
      </w:r>
      <w:proofErr w:type="gramStart"/>
      <w:r w:rsidRPr="002B23FF">
        <w:rPr>
          <w:rFonts w:hAnsi="標楷體" w:hint="eastAsia"/>
          <w:sz w:val="28"/>
          <w:szCs w:val="28"/>
        </w:rPr>
        <w:t>出養媒合</w:t>
      </w:r>
      <w:proofErr w:type="gramEnd"/>
      <w:r w:rsidRPr="002B23FF">
        <w:rPr>
          <w:rFonts w:hAnsi="標楷體" w:hint="eastAsia"/>
          <w:sz w:val="28"/>
          <w:szCs w:val="28"/>
        </w:rPr>
        <w:t>服務者及經法院交查之直轄市、縣（市）主管機關、兒童及少年福利機構、其他適當之團體或專業人員，應定期將前項收出養相關資訊提供中央主管機關保存。</w:t>
      </w:r>
      <w:r w:rsidRPr="002B23FF">
        <w:rPr>
          <w:rFonts w:hAnsi="標楷體"/>
          <w:sz w:val="28"/>
          <w:szCs w:val="28"/>
        </w:rPr>
        <w:t xml:space="preserve"> </w:t>
      </w:r>
    </w:p>
    <w:p w:rsidR="002B23FF" w:rsidRPr="002B23FF" w:rsidRDefault="002B23FF" w:rsidP="002B23FF">
      <w:pPr>
        <w:pStyle w:val="Default"/>
        <w:rPr>
          <w:rFonts w:hAnsi="標楷體"/>
          <w:sz w:val="28"/>
          <w:szCs w:val="28"/>
        </w:rPr>
      </w:pPr>
      <w:r w:rsidRPr="002B23FF">
        <w:rPr>
          <w:rFonts w:hAnsi="標楷體" w:hint="eastAsia"/>
          <w:sz w:val="28"/>
          <w:szCs w:val="28"/>
        </w:rPr>
        <w:t>辦理收出養業務、資訊保存或其他相關事項之人員，對於第一項資訊，</w:t>
      </w:r>
      <w:r w:rsidRPr="002B23FF">
        <w:rPr>
          <w:rFonts w:hAnsi="標楷體" w:hint="eastAsia"/>
          <w:sz w:val="28"/>
          <w:szCs w:val="28"/>
        </w:rPr>
        <w:lastRenderedPageBreak/>
        <w:t>應妥善維護當事人之隱私，除法律另有規定外，應予保密。</w:t>
      </w:r>
      <w:r w:rsidRPr="002B23FF">
        <w:rPr>
          <w:rFonts w:hAnsi="標楷體"/>
          <w:sz w:val="28"/>
          <w:szCs w:val="28"/>
        </w:rPr>
        <w:t xml:space="preserve"> </w:t>
      </w:r>
    </w:p>
    <w:p w:rsidR="002B23FF" w:rsidRPr="002B23FF" w:rsidRDefault="002B23FF" w:rsidP="002B23FF">
      <w:pPr>
        <w:pStyle w:val="Default"/>
        <w:rPr>
          <w:rFonts w:hAnsi="標楷體"/>
          <w:sz w:val="28"/>
          <w:szCs w:val="28"/>
        </w:rPr>
      </w:pPr>
      <w:r w:rsidRPr="002B23FF">
        <w:rPr>
          <w:rFonts w:hAnsi="標楷體" w:hint="eastAsia"/>
          <w:sz w:val="28"/>
          <w:szCs w:val="28"/>
        </w:rPr>
        <w:t>第一項資訊之範圍、來源、管理及使用辦法，由中央主管機關定之。</w:t>
      </w:r>
      <w:r w:rsidRPr="002B23FF">
        <w:rPr>
          <w:rFonts w:hAnsi="標楷體"/>
          <w:sz w:val="28"/>
          <w:szCs w:val="28"/>
        </w:rPr>
        <w:t xml:space="preserve"> </w:t>
      </w:r>
    </w:p>
    <w:p w:rsidR="002B23FF" w:rsidRPr="002B23FF" w:rsidRDefault="002B23FF" w:rsidP="002B23FF">
      <w:pPr>
        <w:pStyle w:val="Default"/>
        <w:rPr>
          <w:rFonts w:hAnsi="標楷體"/>
          <w:sz w:val="28"/>
          <w:szCs w:val="28"/>
        </w:rPr>
      </w:pPr>
      <w:r w:rsidRPr="002B23FF">
        <w:rPr>
          <w:rFonts w:hAnsi="標楷體" w:hint="eastAsia"/>
          <w:sz w:val="28"/>
          <w:szCs w:val="28"/>
        </w:rPr>
        <w:t>第八十七條</w:t>
      </w:r>
      <w:r w:rsidRPr="002B23FF">
        <w:rPr>
          <w:rFonts w:hAnsi="標楷體"/>
          <w:sz w:val="28"/>
          <w:szCs w:val="28"/>
        </w:rPr>
        <w:t xml:space="preserve"> </w:t>
      </w:r>
      <w:r w:rsidRPr="002B23FF">
        <w:rPr>
          <w:rFonts w:hAnsi="標楷體" w:hint="eastAsia"/>
          <w:sz w:val="28"/>
          <w:szCs w:val="28"/>
        </w:rPr>
        <w:t>違反第十五條第一項規定，未經許可從事收</w:t>
      </w:r>
      <w:proofErr w:type="gramStart"/>
      <w:r w:rsidRPr="002B23FF">
        <w:rPr>
          <w:rFonts w:hAnsi="標楷體" w:hint="eastAsia"/>
          <w:sz w:val="28"/>
          <w:szCs w:val="28"/>
        </w:rPr>
        <w:t>出養媒合</w:t>
      </w:r>
      <w:proofErr w:type="gramEnd"/>
      <w:r w:rsidRPr="002B23FF">
        <w:rPr>
          <w:rFonts w:hAnsi="標楷體" w:hint="eastAsia"/>
          <w:sz w:val="28"/>
          <w:szCs w:val="28"/>
        </w:rPr>
        <w:t>服務者，由主管機關處新臺幣六萬元以上三十萬元以下罰鍰，並公布其姓名或名稱。</w:t>
      </w:r>
      <w:r w:rsidRPr="002B23FF">
        <w:rPr>
          <w:rFonts w:hAnsi="標楷體"/>
          <w:sz w:val="28"/>
          <w:szCs w:val="28"/>
        </w:rPr>
        <w:t xml:space="preserve"> </w:t>
      </w:r>
    </w:p>
    <w:p w:rsidR="002B23FF" w:rsidRPr="002B23FF" w:rsidRDefault="002B23FF" w:rsidP="002B23FF">
      <w:pPr>
        <w:pStyle w:val="Default"/>
        <w:rPr>
          <w:rFonts w:hAnsi="標楷體"/>
          <w:sz w:val="28"/>
          <w:szCs w:val="28"/>
        </w:rPr>
      </w:pPr>
      <w:r w:rsidRPr="002B23FF">
        <w:rPr>
          <w:rFonts w:hAnsi="標楷體" w:hint="eastAsia"/>
          <w:sz w:val="28"/>
          <w:szCs w:val="28"/>
        </w:rPr>
        <w:t>第八十八條</w:t>
      </w:r>
      <w:r w:rsidRPr="002B23FF">
        <w:rPr>
          <w:rFonts w:hAnsi="標楷體"/>
          <w:sz w:val="28"/>
          <w:szCs w:val="28"/>
        </w:rPr>
        <w:t xml:space="preserve"> </w:t>
      </w:r>
      <w:r w:rsidRPr="002B23FF">
        <w:rPr>
          <w:rFonts w:hAnsi="標楷體" w:hint="eastAsia"/>
          <w:sz w:val="28"/>
          <w:szCs w:val="28"/>
        </w:rPr>
        <w:t>收</w:t>
      </w:r>
      <w:proofErr w:type="gramStart"/>
      <w:r w:rsidRPr="002B23FF">
        <w:rPr>
          <w:rFonts w:hAnsi="標楷體" w:hint="eastAsia"/>
          <w:sz w:val="28"/>
          <w:szCs w:val="28"/>
        </w:rPr>
        <w:t>出養媒合</w:t>
      </w:r>
      <w:proofErr w:type="gramEnd"/>
      <w:r w:rsidRPr="002B23FF">
        <w:rPr>
          <w:rFonts w:hAnsi="標楷體" w:hint="eastAsia"/>
          <w:sz w:val="28"/>
          <w:szCs w:val="28"/>
        </w:rPr>
        <w:t>服務者違反依第十五條第三項所定辦法中有關業務檢查與管理、停業、歇業、復業之規定者，由許可主管機關通知限期改善，屆期未改善者，處新臺幣三萬元以上十五萬元以下罰鍰，並得按次處罰；情節嚴重者，得命其停辦一個月以上一年以下，並公布其名稱或姓名。</w:t>
      </w:r>
      <w:r w:rsidRPr="002B23FF">
        <w:rPr>
          <w:rFonts w:hAnsi="標楷體"/>
          <w:sz w:val="28"/>
          <w:szCs w:val="28"/>
        </w:rPr>
        <w:t xml:space="preserve"> </w:t>
      </w:r>
    </w:p>
    <w:p w:rsidR="002B23FF" w:rsidRPr="002B23FF" w:rsidRDefault="002B23FF" w:rsidP="002B23FF">
      <w:pPr>
        <w:pStyle w:val="Default"/>
        <w:rPr>
          <w:rFonts w:hAnsi="標楷體"/>
          <w:sz w:val="28"/>
          <w:szCs w:val="28"/>
        </w:rPr>
      </w:pPr>
      <w:r w:rsidRPr="002B23FF">
        <w:rPr>
          <w:rFonts w:hAnsi="標楷體" w:hint="eastAsia"/>
          <w:sz w:val="28"/>
          <w:szCs w:val="28"/>
        </w:rPr>
        <w:t>依前項規定命其停辦，拒不遵從或停辦期限屆滿未改善者，許可主管機關應廢止其許可。</w:t>
      </w:r>
      <w:r w:rsidRPr="002B23FF">
        <w:rPr>
          <w:rFonts w:hAnsi="標楷體"/>
          <w:sz w:val="28"/>
          <w:szCs w:val="28"/>
        </w:rPr>
        <w:t xml:space="preserve"> </w:t>
      </w:r>
    </w:p>
    <w:p w:rsidR="002B23FF" w:rsidRPr="002B23FF" w:rsidRDefault="002B23FF" w:rsidP="002B23FF">
      <w:pPr>
        <w:pStyle w:val="Default"/>
        <w:rPr>
          <w:rFonts w:hAnsi="標楷體"/>
          <w:sz w:val="28"/>
          <w:szCs w:val="28"/>
        </w:rPr>
      </w:pPr>
      <w:r w:rsidRPr="002B23FF">
        <w:rPr>
          <w:rFonts w:hAnsi="標楷體" w:hint="eastAsia"/>
          <w:sz w:val="28"/>
          <w:szCs w:val="28"/>
        </w:rPr>
        <w:t>第八十九條</w:t>
      </w:r>
      <w:r w:rsidRPr="002B23FF">
        <w:rPr>
          <w:rFonts w:hAnsi="標楷體"/>
          <w:sz w:val="28"/>
          <w:szCs w:val="28"/>
        </w:rPr>
        <w:t xml:space="preserve"> </w:t>
      </w:r>
      <w:r w:rsidRPr="002B23FF">
        <w:rPr>
          <w:rFonts w:hAnsi="標楷體" w:hint="eastAsia"/>
          <w:sz w:val="28"/>
          <w:szCs w:val="28"/>
        </w:rPr>
        <w:t>違反第二十一條第三項、第五十三條第五項</w:t>
      </w:r>
      <w:r>
        <w:rPr>
          <w:rFonts w:hAnsi="標楷體" w:hint="eastAsia"/>
          <w:sz w:val="28"/>
          <w:szCs w:val="28"/>
        </w:rPr>
        <w:t>、第五十四條第五項</w:t>
      </w:r>
      <w:r w:rsidRPr="002B23FF">
        <w:rPr>
          <w:rFonts w:hAnsi="標楷體" w:hint="eastAsia"/>
          <w:sz w:val="28"/>
          <w:szCs w:val="28"/>
        </w:rPr>
        <w:t>、第六十六條第二項或第六十九條第三項而無正當理由者，處新臺幣二萬元以上十萬元以下罰鍰。</w:t>
      </w:r>
      <w:r w:rsidRPr="002B23FF">
        <w:rPr>
          <w:rFonts w:hAnsi="標楷體"/>
          <w:sz w:val="28"/>
          <w:szCs w:val="28"/>
        </w:rPr>
        <w:t xml:space="preserve"> </w:t>
      </w:r>
    </w:p>
    <w:p w:rsidR="00F5737C" w:rsidRPr="00D32557" w:rsidRDefault="002B23FF" w:rsidP="00D32557">
      <w:pPr>
        <w:pStyle w:val="Default"/>
        <w:rPr>
          <w:rFonts w:hAnsi="標楷體"/>
          <w:sz w:val="28"/>
          <w:szCs w:val="28"/>
        </w:rPr>
      </w:pPr>
      <w:r w:rsidRPr="002B23FF">
        <w:rPr>
          <w:rFonts w:hAnsi="標楷體" w:hint="eastAsia"/>
          <w:sz w:val="28"/>
          <w:szCs w:val="28"/>
        </w:rPr>
        <w:t>第一百十八條</w:t>
      </w:r>
      <w:r w:rsidRPr="002B23FF">
        <w:rPr>
          <w:rFonts w:hAnsi="標楷體"/>
          <w:sz w:val="28"/>
          <w:szCs w:val="28"/>
        </w:rPr>
        <w:t xml:space="preserve"> </w:t>
      </w:r>
      <w:r w:rsidR="00D32557" w:rsidRPr="00D32557">
        <w:rPr>
          <w:rFonts w:hAnsi="標楷體" w:hint="eastAsia"/>
          <w:sz w:val="28"/>
          <w:szCs w:val="28"/>
          <w:shd w:val="clear" w:color="auto" w:fill="F9FBFB"/>
        </w:rPr>
        <w:t>本法除中華民國一百年十一月三十日修正公布之第十五條至第十七條、第二十九條、第七十六條、第八十七條、第八十八條及第一百十六條自公布六個月後施行，第二十五條、第二十六條及第九十條自公布三年後施行外</w:t>
      </w:r>
      <w:bookmarkStart w:id="0" w:name="_GoBack"/>
      <w:bookmarkEnd w:id="0"/>
      <w:r w:rsidR="00D32557" w:rsidRPr="00D32557">
        <w:rPr>
          <w:rFonts w:hAnsi="標楷體" w:hint="eastAsia"/>
          <w:sz w:val="28"/>
          <w:szCs w:val="28"/>
          <w:shd w:val="clear" w:color="auto" w:fill="F9FBFB"/>
        </w:rPr>
        <w:t>，自公布日施行。</w:t>
      </w:r>
    </w:p>
    <w:sectPr w:rsidR="00F5737C" w:rsidRPr="00D3255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3FF"/>
    <w:rsid w:val="000E1C4B"/>
    <w:rsid w:val="002B23FF"/>
    <w:rsid w:val="003F4A75"/>
    <w:rsid w:val="00D325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23FF"/>
    <w:pPr>
      <w:widowControl w:val="0"/>
      <w:autoSpaceDE w:val="0"/>
      <w:autoSpaceDN w:val="0"/>
      <w:adjustRightInd w:val="0"/>
    </w:pPr>
    <w:rPr>
      <w:rFonts w:ascii="標楷體" w:eastAsia="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23FF"/>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304</Words>
  <Characters>1734</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譚大為</dc:creator>
  <cp:lastModifiedBy>譚大為</cp:lastModifiedBy>
  <cp:revision>2</cp:revision>
  <dcterms:created xsi:type="dcterms:W3CDTF">2019-11-08T03:52:00Z</dcterms:created>
  <dcterms:modified xsi:type="dcterms:W3CDTF">2019-11-08T04:00:00Z</dcterms:modified>
</cp:coreProperties>
</file>